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2BCC23F" w:rsidR="009E5A7D" w:rsidRPr="00EE7063" w:rsidRDefault="009E5A7D" w:rsidP="009A65F3">
      <w:pPr>
        <w:spacing w:before="240" w:after="240" w:line="360" w:lineRule="auto"/>
        <w:jc w:val="both"/>
        <w:rPr>
          <w:rFonts w:ascii="Palatino Linotype" w:hAnsi="Palatino Linotype" w:cs="Arial"/>
        </w:rPr>
      </w:pPr>
      <w:r w:rsidRPr="00EE7063">
        <w:rPr>
          <w:rFonts w:ascii="Palatino Linotype" w:hAnsi="Palatino Linotype"/>
        </w:rPr>
        <w:t>Resolución del Pleno del Instituto de Transparencia, Acceso a la Información Pública y Protección de Datos Personales del Estado de México y Municipios,</w:t>
      </w:r>
      <w:r w:rsidR="00880CEA" w:rsidRPr="00EE7063">
        <w:rPr>
          <w:rFonts w:ascii="Palatino Linotype" w:hAnsi="Palatino Linotype"/>
        </w:rPr>
        <w:t xml:space="preserve"> </w:t>
      </w:r>
      <w:r w:rsidR="00880CEA" w:rsidRPr="00EE7063">
        <w:rPr>
          <w:rFonts w:ascii="Palatino Linotype" w:eastAsia="Calibri" w:hAnsi="Palatino Linotype" w:cs="Arial"/>
        </w:rPr>
        <w:t>con domicilio en Metepec, Estado de México,</w:t>
      </w:r>
      <w:r w:rsidRPr="00EE7063">
        <w:rPr>
          <w:rFonts w:ascii="Palatino Linotype" w:hAnsi="Palatino Linotype"/>
        </w:rPr>
        <w:t xml:space="preserve"> </w:t>
      </w:r>
      <w:r w:rsidR="00DF2EE7" w:rsidRPr="00EE7063">
        <w:rPr>
          <w:rFonts w:ascii="Palatino Linotype" w:hAnsi="Palatino Linotype"/>
        </w:rPr>
        <w:t>de fecha</w:t>
      </w:r>
      <w:r w:rsidRPr="00EE7063">
        <w:rPr>
          <w:rStyle w:val="apple-converted-space"/>
          <w:rFonts w:ascii="Palatino Linotype" w:hAnsi="Palatino Linotype" w:cs="Arial"/>
        </w:rPr>
        <w:t> </w:t>
      </w:r>
      <w:r w:rsidR="005C1891">
        <w:rPr>
          <w:rStyle w:val="normaltextrun"/>
          <w:rFonts w:ascii="Palatino Linotype" w:hAnsi="Palatino Linotype" w:cs="Arial"/>
        </w:rPr>
        <w:t>veintitrés</w:t>
      </w:r>
      <w:r w:rsidR="00FA74AB" w:rsidRPr="00EE7063">
        <w:rPr>
          <w:rStyle w:val="normaltextrun"/>
          <w:rFonts w:ascii="Palatino Linotype" w:hAnsi="Palatino Linotype" w:cs="Arial"/>
        </w:rPr>
        <w:t xml:space="preserve"> </w:t>
      </w:r>
      <w:r w:rsidRPr="00EE7063">
        <w:rPr>
          <w:rStyle w:val="normaltextrun"/>
          <w:rFonts w:ascii="Palatino Linotype" w:hAnsi="Palatino Linotype" w:cs="Arial"/>
        </w:rPr>
        <w:t>de</w:t>
      </w:r>
      <w:r w:rsidRPr="00EE7063">
        <w:rPr>
          <w:rStyle w:val="apple-converted-space"/>
          <w:rFonts w:ascii="Palatino Linotype" w:hAnsi="Palatino Linotype" w:cs="Arial"/>
        </w:rPr>
        <w:t> </w:t>
      </w:r>
      <w:r w:rsidR="005C1891">
        <w:rPr>
          <w:rStyle w:val="apple-converted-space"/>
          <w:rFonts w:ascii="Palatino Linotype" w:hAnsi="Palatino Linotype" w:cs="Arial"/>
        </w:rPr>
        <w:t xml:space="preserve">enero </w:t>
      </w:r>
      <w:r w:rsidR="006C7D11" w:rsidRPr="00EE7063">
        <w:rPr>
          <w:rStyle w:val="apple-converted-space"/>
          <w:rFonts w:ascii="Palatino Linotype" w:hAnsi="Palatino Linotype" w:cs="Arial"/>
        </w:rPr>
        <w:t xml:space="preserve"> </w:t>
      </w:r>
      <w:r w:rsidRPr="00EE7063">
        <w:rPr>
          <w:rStyle w:val="normaltextrun"/>
          <w:rFonts w:ascii="Palatino Linotype" w:hAnsi="Palatino Linotype" w:cs="Arial"/>
        </w:rPr>
        <w:t xml:space="preserve">de dos mil </w:t>
      </w:r>
      <w:r w:rsidR="00155EE8" w:rsidRPr="00EE7063">
        <w:rPr>
          <w:rStyle w:val="normaltextrun"/>
          <w:rFonts w:ascii="Palatino Linotype" w:hAnsi="Palatino Linotype" w:cs="Arial"/>
        </w:rPr>
        <w:t>dieci</w:t>
      </w:r>
      <w:r w:rsidR="006C7D11" w:rsidRPr="00EE7063">
        <w:rPr>
          <w:rStyle w:val="normaltextrun"/>
          <w:rFonts w:ascii="Palatino Linotype" w:hAnsi="Palatino Linotype" w:cs="Arial"/>
        </w:rPr>
        <w:t>nueve</w:t>
      </w:r>
      <w:r w:rsidRPr="00EE7063">
        <w:rPr>
          <w:rStyle w:val="normaltextrun"/>
          <w:rFonts w:ascii="Palatino Linotype" w:hAnsi="Palatino Linotype" w:cs="Arial"/>
        </w:rPr>
        <w:t>.</w:t>
      </w:r>
    </w:p>
    <w:p w14:paraId="09115020" w14:textId="579D8F9D" w:rsidR="009E5A7D" w:rsidRPr="00EE7063" w:rsidRDefault="009E5A7D" w:rsidP="009A65F3">
      <w:pPr>
        <w:spacing w:before="240" w:after="240" w:line="360" w:lineRule="auto"/>
        <w:jc w:val="both"/>
        <w:rPr>
          <w:rFonts w:ascii="Palatino Linotype" w:hAnsi="Palatino Linotype" w:cs="Arial"/>
          <w:b/>
        </w:rPr>
      </w:pPr>
      <w:r w:rsidRPr="00EE7063">
        <w:rPr>
          <w:rFonts w:ascii="Palatino Linotype" w:hAnsi="Palatino Linotype" w:cs="Arial"/>
          <w:b/>
        </w:rPr>
        <w:t>Visto</w:t>
      </w:r>
      <w:r w:rsidRPr="00EE7063">
        <w:rPr>
          <w:rFonts w:ascii="Palatino Linotype" w:hAnsi="Palatino Linotype" w:cs="Arial"/>
        </w:rPr>
        <w:t xml:space="preserve"> el expediente relativo al recurso de revisión </w:t>
      </w:r>
      <w:r w:rsidR="006C7D11" w:rsidRPr="00EE7063">
        <w:rPr>
          <w:rFonts w:ascii="Palatino Linotype" w:hAnsi="Palatino Linotype" w:cs="Arial"/>
          <w:b/>
          <w:bCs/>
        </w:rPr>
        <w:t>04534</w:t>
      </w:r>
      <w:r w:rsidR="009F297B" w:rsidRPr="00EE7063">
        <w:rPr>
          <w:rFonts w:ascii="Palatino Linotype" w:hAnsi="Palatino Linotype" w:cs="Arial"/>
          <w:b/>
          <w:bCs/>
        </w:rPr>
        <w:t>/INFOEM/IP/RR/2018</w:t>
      </w:r>
      <w:r w:rsidRPr="00EE7063">
        <w:rPr>
          <w:rFonts w:ascii="Palatino Linotype" w:hAnsi="Palatino Linotype" w:cs="Arial"/>
        </w:rPr>
        <w:t>, interpuesto por</w:t>
      </w:r>
      <w:r w:rsidR="00ED6D1E" w:rsidRPr="00EE7063">
        <w:rPr>
          <w:rFonts w:ascii="Palatino Linotype" w:hAnsi="Palatino Linotype" w:cs="Arial"/>
        </w:rPr>
        <w:t xml:space="preserve"> </w:t>
      </w:r>
      <w:r w:rsidR="000636BA">
        <w:rPr>
          <w:rFonts w:ascii="Palatino Linotype" w:hAnsi="Palatino Linotype" w:cs="Arial"/>
          <w:b/>
        </w:rPr>
        <w:t>Xxxx Xx xx Xxxx Xxxxxxx Xxxx Xxxx</w:t>
      </w:r>
      <w:bookmarkStart w:id="0" w:name="_GoBack"/>
      <w:bookmarkEnd w:id="0"/>
      <w:r w:rsidRPr="00EE7063">
        <w:rPr>
          <w:rFonts w:ascii="Palatino Linotype" w:hAnsi="Palatino Linotype" w:cs="Arial"/>
        </w:rPr>
        <w:t xml:space="preserve">, en lo sucesivo </w:t>
      </w:r>
      <w:r w:rsidR="00D94CF7" w:rsidRPr="00EE7063">
        <w:rPr>
          <w:rFonts w:ascii="Palatino Linotype" w:hAnsi="Palatino Linotype" w:cs="Arial"/>
        </w:rPr>
        <w:t>l</w:t>
      </w:r>
      <w:r w:rsidR="004F7CA4" w:rsidRPr="00EE7063">
        <w:rPr>
          <w:rFonts w:ascii="Palatino Linotype" w:hAnsi="Palatino Linotype" w:cs="Arial"/>
        </w:rPr>
        <w:t>a parte</w:t>
      </w:r>
      <w:r w:rsidRPr="00EE7063">
        <w:rPr>
          <w:rFonts w:ascii="Palatino Linotype" w:hAnsi="Palatino Linotype" w:cs="Arial"/>
        </w:rPr>
        <w:t xml:space="preserve"> </w:t>
      </w:r>
      <w:r w:rsidRPr="00EE7063">
        <w:rPr>
          <w:rFonts w:ascii="Palatino Linotype" w:hAnsi="Palatino Linotype" w:cs="Arial"/>
          <w:b/>
        </w:rPr>
        <w:t>recurrente</w:t>
      </w:r>
      <w:r w:rsidRPr="00EE7063">
        <w:rPr>
          <w:rFonts w:ascii="Palatino Linotype" w:hAnsi="Palatino Linotype" w:cs="Arial"/>
        </w:rPr>
        <w:t xml:space="preserve"> en contra de la</w:t>
      </w:r>
      <w:r w:rsidR="001D541C" w:rsidRPr="00EE7063">
        <w:rPr>
          <w:rFonts w:ascii="Palatino Linotype" w:hAnsi="Palatino Linotype" w:cs="Arial"/>
        </w:rPr>
        <w:t xml:space="preserve"> falta</w:t>
      </w:r>
      <w:r w:rsidR="00FD5E90" w:rsidRPr="00EE7063">
        <w:rPr>
          <w:rFonts w:ascii="Palatino Linotype" w:hAnsi="Palatino Linotype" w:cs="Arial"/>
        </w:rPr>
        <w:t xml:space="preserve"> </w:t>
      </w:r>
      <w:r w:rsidRPr="00EE7063">
        <w:rPr>
          <w:rFonts w:ascii="Palatino Linotype" w:hAnsi="Palatino Linotype" w:cs="Arial"/>
        </w:rPr>
        <w:t xml:space="preserve">respuesta a su solicitud de información con número de folio </w:t>
      </w:r>
      <w:r w:rsidR="009F297B" w:rsidRPr="00EE7063">
        <w:rPr>
          <w:rFonts w:ascii="Palatino Linotype" w:hAnsi="Palatino Linotype" w:cs="Arial"/>
          <w:b/>
        </w:rPr>
        <w:t>00</w:t>
      </w:r>
      <w:r w:rsidR="006C7D11" w:rsidRPr="00EE7063">
        <w:rPr>
          <w:rFonts w:ascii="Palatino Linotype" w:hAnsi="Palatino Linotype" w:cs="Arial"/>
          <w:b/>
        </w:rPr>
        <w:t>06</w:t>
      </w:r>
      <w:r w:rsidR="005347A7" w:rsidRPr="00EE7063">
        <w:rPr>
          <w:rFonts w:ascii="Palatino Linotype" w:hAnsi="Palatino Linotype" w:cs="Arial"/>
          <w:b/>
        </w:rPr>
        <w:t>7</w:t>
      </w:r>
      <w:r w:rsidRPr="00EE7063">
        <w:rPr>
          <w:rFonts w:ascii="Palatino Linotype" w:hAnsi="Palatino Linotype" w:cs="Arial"/>
          <w:b/>
        </w:rPr>
        <w:t>/</w:t>
      </w:r>
      <w:r w:rsidR="006C7D11" w:rsidRPr="00EE7063">
        <w:rPr>
          <w:rFonts w:ascii="Palatino Linotype" w:hAnsi="Palatino Linotype" w:cs="Arial"/>
          <w:b/>
        </w:rPr>
        <w:t>COCOTIT</w:t>
      </w:r>
      <w:r w:rsidR="00155EE8" w:rsidRPr="00EE7063">
        <w:rPr>
          <w:rFonts w:ascii="Palatino Linotype" w:hAnsi="Palatino Linotype" w:cs="Arial"/>
          <w:b/>
        </w:rPr>
        <w:t>/IP/201</w:t>
      </w:r>
      <w:r w:rsidR="00F1346D" w:rsidRPr="00EE7063">
        <w:rPr>
          <w:rFonts w:ascii="Palatino Linotype" w:hAnsi="Palatino Linotype" w:cs="Arial"/>
          <w:b/>
        </w:rPr>
        <w:t>8</w:t>
      </w:r>
      <w:r w:rsidRPr="00EE7063">
        <w:rPr>
          <w:rFonts w:ascii="Palatino Linotype" w:hAnsi="Palatino Linotype" w:cs="Arial"/>
        </w:rPr>
        <w:t>, por parte de</w:t>
      </w:r>
      <w:r w:rsidR="00A74766" w:rsidRPr="00EE7063">
        <w:rPr>
          <w:rFonts w:ascii="Palatino Linotype" w:hAnsi="Palatino Linotype" w:cs="Arial"/>
        </w:rPr>
        <w:t>l</w:t>
      </w:r>
      <w:r w:rsidRPr="00EE7063">
        <w:rPr>
          <w:rFonts w:ascii="Palatino Linotype" w:hAnsi="Palatino Linotype" w:cs="Arial"/>
        </w:rPr>
        <w:t xml:space="preserve"> </w:t>
      </w:r>
      <w:r w:rsidR="00993058" w:rsidRPr="00EE7063">
        <w:rPr>
          <w:rFonts w:ascii="Palatino Linotype" w:hAnsi="Palatino Linotype"/>
          <w:b/>
          <w:bCs/>
          <w:color w:val="000000"/>
        </w:rPr>
        <w:t xml:space="preserve">Ayuntamiento de </w:t>
      </w:r>
      <w:r w:rsidR="006C7D11" w:rsidRPr="00EE7063">
        <w:rPr>
          <w:rFonts w:ascii="Palatino Linotype" w:hAnsi="Palatino Linotype"/>
          <w:b/>
          <w:bCs/>
          <w:color w:val="000000"/>
        </w:rPr>
        <w:t>Cocotitlán</w:t>
      </w:r>
      <w:r w:rsidRPr="00EE7063">
        <w:rPr>
          <w:rFonts w:ascii="Palatino Linotype" w:hAnsi="Palatino Linotype" w:cs="Arial"/>
        </w:rPr>
        <w:t xml:space="preserve">, en lo sucesivo el </w:t>
      </w:r>
      <w:r w:rsidRPr="00EE7063">
        <w:rPr>
          <w:rFonts w:ascii="Palatino Linotype" w:hAnsi="Palatino Linotype" w:cs="Arial"/>
          <w:b/>
        </w:rPr>
        <w:t xml:space="preserve">Sujeto Obligado; </w:t>
      </w:r>
      <w:r w:rsidRPr="00EE7063">
        <w:rPr>
          <w:rFonts w:ascii="Palatino Linotype" w:hAnsi="Palatino Linotype" w:cs="Arial"/>
        </w:rPr>
        <w:t>se procede a dictar la presente resolución, con base en lo siguiente.</w:t>
      </w:r>
    </w:p>
    <w:p w14:paraId="783B97B4" w14:textId="77777777" w:rsidR="009E5A7D" w:rsidRPr="00EE7063" w:rsidRDefault="009E5A7D" w:rsidP="00B527D6">
      <w:pPr>
        <w:pStyle w:val="Prrafodelista"/>
        <w:numPr>
          <w:ilvl w:val="0"/>
          <w:numId w:val="1"/>
        </w:numPr>
        <w:spacing w:before="240" w:after="240" w:line="360" w:lineRule="auto"/>
        <w:ind w:left="1077"/>
        <w:contextualSpacing/>
        <w:jc w:val="center"/>
        <w:rPr>
          <w:rFonts w:ascii="Palatino Linotype" w:hAnsi="Palatino Linotype" w:cs="Arial"/>
          <w:b/>
        </w:rPr>
      </w:pPr>
      <w:r w:rsidRPr="00EE7063">
        <w:rPr>
          <w:rFonts w:ascii="Palatino Linotype" w:hAnsi="Palatino Linotype" w:cs="Arial"/>
          <w:b/>
        </w:rPr>
        <w:t>A N T E C E D E N T E S:</w:t>
      </w:r>
    </w:p>
    <w:p w14:paraId="2137DF43" w14:textId="71801C26" w:rsidR="009E5A7D" w:rsidRPr="00EE7063" w:rsidRDefault="009E5A7D" w:rsidP="009A65F3">
      <w:pPr>
        <w:spacing w:before="240" w:after="240" w:line="360" w:lineRule="auto"/>
        <w:jc w:val="both"/>
        <w:rPr>
          <w:rFonts w:ascii="Palatino Linotype" w:hAnsi="Palatino Linotype" w:cs="Arial"/>
          <w:b/>
        </w:rPr>
      </w:pPr>
      <w:r w:rsidRPr="00EE7063">
        <w:rPr>
          <w:rFonts w:ascii="Palatino Linotype" w:hAnsi="Palatino Linotype" w:cs="Arial"/>
          <w:b/>
        </w:rPr>
        <w:t xml:space="preserve">1. Solicitud de acceso a la información. </w:t>
      </w:r>
      <w:r w:rsidRPr="00EE7063">
        <w:rPr>
          <w:rFonts w:ascii="Palatino Linotype" w:hAnsi="Palatino Linotype" w:cs="Arial"/>
        </w:rPr>
        <w:t xml:space="preserve">Con </w:t>
      </w:r>
      <w:r w:rsidR="00983A88" w:rsidRPr="00EE7063">
        <w:rPr>
          <w:rFonts w:ascii="Palatino Linotype" w:hAnsi="Palatino Linotype" w:cs="Arial"/>
        </w:rPr>
        <w:t xml:space="preserve">fecha </w:t>
      </w:r>
      <w:r w:rsidR="006C7D11" w:rsidRPr="00EE7063">
        <w:rPr>
          <w:rFonts w:ascii="Palatino Linotype" w:hAnsi="Palatino Linotype" w:cs="Arial"/>
        </w:rPr>
        <w:t>treinta de octubre</w:t>
      </w:r>
      <w:r w:rsidR="005347A7" w:rsidRPr="00EE7063">
        <w:rPr>
          <w:rFonts w:ascii="Palatino Linotype" w:hAnsi="Palatino Linotype" w:cs="Arial"/>
        </w:rPr>
        <w:t xml:space="preserve"> </w:t>
      </w:r>
      <w:r w:rsidRPr="00EE7063">
        <w:rPr>
          <w:rFonts w:ascii="Palatino Linotype" w:hAnsi="Palatino Linotype" w:cs="Arial"/>
        </w:rPr>
        <w:t xml:space="preserve">de dos mil </w:t>
      </w:r>
      <w:r w:rsidR="00155EE8" w:rsidRPr="00EE7063">
        <w:rPr>
          <w:rFonts w:ascii="Palatino Linotype" w:hAnsi="Palatino Linotype" w:cs="Arial"/>
        </w:rPr>
        <w:t>diec</w:t>
      </w:r>
      <w:r w:rsidR="00F1346D" w:rsidRPr="00EE7063">
        <w:rPr>
          <w:rFonts w:ascii="Palatino Linotype" w:hAnsi="Palatino Linotype" w:cs="Arial"/>
        </w:rPr>
        <w:t>iocho</w:t>
      </w:r>
      <w:r w:rsidRPr="00EE7063">
        <w:rPr>
          <w:rFonts w:ascii="Palatino Linotype" w:hAnsi="Palatino Linotype" w:cs="Arial"/>
        </w:rPr>
        <w:t>, la</w:t>
      </w:r>
      <w:r w:rsidR="00176A2B" w:rsidRPr="00EE7063">
        <w:rPr>
          <w:rFonts w:ascii="Palatino Linotype" w:hAnsi="Palatino Linotype" w:cs="Arial"/>
        </w:rPr>
        <w:t xml:space="preserve"> parte</w:t>
      </w:r>
      <w:r w:rsidRPr="00EE7063">
        <w:rPr>
          <w:rFonts w:ascii="Palatino Linotype" w:hAnsi="Palatino Linotype" w:cs="Arial"/>
        </w:rPr>
        <w:t xml:space="preserve"> </w:t>
      </w:r>
      <w:r w:rsidRPr="00EE7063">
        <w:rPr>
          <w:rFonts w:ascii="Palatino Linotype" w:hAnsi="Palatino Linotype" w:cs="Arial"/>
          <w:b/>
        </w:rPr>
        <w:t>recurrente</w:t>
      </w:r>
      <w:r w:rsidRPr="00EE7063">
        <w:rPr>
          <w:rFonts w:ascii="Palatino Linotype" w:hAnsi="Palatino Linotype" w:cs="Arial"/>
        </w:rPr>
        <w:t xml:space="preserve"> formuló solicitud de acceso a</w:t>
      </w:r>
      <w:r w:rsidR="00FF6B97" w:rsidRPr="00EE7063">
        <w:rPr>
          <w:rFonts w:ascii="Palatino Linotype" w:hAnsi="Palatino Linotype" w:cs="Arial"/>
        </w:rPr>
        <w:t xml:space="preserve"> la</w:t>
      </w:r>
      <w:r w:rsidRPr="00EE7063">
        <w:rPr>
          <w:rFonts w:ascii="Palatino Linotype" w:hAnsi="Palatino Linotype" w:cs="Arial"/>
        </w:rPr>
        <w:t xml:space="preserve"> información pública al </w:t>
      </w:r>
      <w:r w:rsidRPr="00EE7063">
        <w:rPr>
          <w:rFonts w:ascii="Palatino Linotype" w:hAnsi="Palatino Linotype" w:cs="Arial"/>
          <w:b/>
        </w:rPr>
        <w:t>Sujeto Obligado</w:t>
      </w:r>
      <w:r w:rsidRPr="00EE7063">
        <w:rPr>
          <w:rFonts w:ascii="Palatino Linotype" w:hAnsi="Palatino Linotype" w:cs="Arial"/>
        </w:rPr>
        <w:t xml:space="preserve"> a través del Sistema de Acceso a la Información Mexiquense, en adelante </w:t>
      </w:r>
      <w:r w:rsidRPr="00EE7063">
        <w:rPr>
          <w:rFonts w:ascii="Palatino Linotype" w:hAnsi="Palatino Linotype" w:cs="Arial"/>
          <w:b/>
        </w:rPr>
        <w:t>SAIMEX,</w:t>
      </w:r>
      <w:r w:rsidRPr="00EE7063">
        <w:rPr>
          <w:rFonts w:ascii="Palatino Linotype" w:hAnsi="Palatino Linotype" w:cs="Arial"/>
        </w:rPr>
        <w:t xml:space="preserve">  requiriéndole lo siguiente:</w:t>
      </w:r>
    </w:p>
    <w:p w14:paraId="777CDE7C" w14:textId="67228927" w:rsidR="004F6DE4" w:rsidRPr="00EE7063" w:rsidRDefault="009E5A7D" w:rsidP="009A65F3">
      <w:pPr>
        <w:autoSpaceDE w:val="0"/>
        <w:autoSpaceDN w:val="0"/>
        <w:adjustRightInd w:val="0"/>
        <w:ind w:left="851" w:right="900"/>
        <w:jc w:val="both"/>
        <w:rPr>
          <w:rFonts w:ascii="Palatino Linotype" w:hAnsi="Palatino Linotype" w:cs="Arial"/>
          <w:i/>
          <w:sz w:val="22"/>
          <w:szCs w:val="22"/>
        </w:rPr>
      </w:pPr>
      <w:r w:rsidRPr="00EE7063">
        <w:rPr>
          <w:rFonts w:ascii="Palatino Linotype" w:hAnsi="Palatino Linotype" w:cs="Arial"/>
          <w:i/>
          <w:sz w:val="22"/>
          <w:szCs w:val="22"/>
        </w:rPr>
        <w:t>“</w:t>
      </w:r>
      <w:r w:rsidR="00A055C5" w:rsidRPr="00EE7063">
        <w:rPr>
          <w:rFonts w:ascii="Palatino Linotype" w:hAnsi="Palatino Linotype" w:cs="Arial"/>
          <w:i/>
          <w:sz w:val="22"/>
          <w:szCs w:val="22"/>
        </w:rPr>
        <w:t>El escrito de interposición de la controversia constitucional promovida el 7 de enero de 2018 ante la Suprema Corte de Justicia de la Nación por el H. Ayuntamiento de Cocotitlán en contra de la Ley de Seguridad Interior, publicada en el Diario Oficial de la Federación el 21 de diciembre de 2017.</w:t>
      </w:r>
      <w:r w:rsidR="005347A7" w:rsidRPr="00EE7063">
        <w:rPr>
          <w:rFonts w:ascii="Palatino Linotype" w:hAnsi="Palatino Linotype" w:cs="Arial"/>
          <w:i/>
          <w:sz w:val="22"/>
          <w:szCs w:val="22"/>
        </w:rPr>
        <w:t xml:space="preserve">. </w:t>
      </w:r>
      <w:r w:rsidR="00ED6D1E" w:rsidRPr="00EE7063">
        <w:rPr>
          <w:rFonts w:ascii="Palatino Linotype" w:hAnsi="Palatino Linotype" w:cs="Arial"/>
          <w:i/>
          <w:sz w:val="22"/>
          <w:szCs w:val="22"/>
        </w:rPr>
        <w:t>“</w:t>
      </w:r>
      <w:r w:rsidRPr="00EE7063">
        <w:rPr>
          <w:rFonts w:ascii="Palatino Linotype" w:hAnsi="Palatino Linotype" w:cs="Arial"/>
          <w:i/>
          <w:sz w:val="22"/>
          <w:szCs w:val="22"/>
        </w:rPr>
        <w:t>(sic)</w:t>
      </w:r>
    </w:p>
    <w:p w14:paraId="4BF9E253" w14:textId="1C710A36" w:rsidR="0026697E" w:rsidRPr="00EE7063" w:rsidRDefault="00FF6B97" w:rsidP="009A65F3">
      <w:pPr>
        <w:spacing w:before="240" w:after="240" w:line="360" w:lineRule="auto"/>
        <w:jc w:val="both"/>
        <w:rPr>
          <w:rFonts w:ascii="Palatino Linotype" w:hAnsi="Palatino Linotype" w:cs="Arial"/>
        </w:rPr>
      </w:pPr>
      <w:r w:rsidRPr="00EE7063">
        <w:rPr>
          <w:rFonts w:ascii="Palatino Linotype" w:hAnsi="Palatino Linotype" w:cs="Arial"/>
          <w:b/>
        </w:rPr>
        <w:t>Modalidad</w:t>
      </w:r>
      <w:r w:rsidR="0026697E" w:rsidRPr="00EE7063">
        <w:rPr>
          <w:rFonts w:ascii="Palatino Linotype" w:hAnsi="Palatino Linotype" w:cs="Arial"/>
          <w:b/>
        </w:rPr>
        <w:t xml:space="preserve"> elegida para la entrega de la información: </w:t>
      </w:r>
      <w:r w:rsidR="0026697E" w:rsidRPr="00EE7063">
        <w:rPr>
          <w:rFonts w:ascii="Palatino Linotype" w:hAnsi="Palatino Linotype" w:cs="Arial"/>
        </w:rPr>
        <w:t>a través del SAIMEX.</w:t>
      </w:r>
    </w:p>
    <w:p w14:paraId="54330CAC" w14:textId="25FA3FAC" w:rsidR="005347A7" w:rsidRPr="00EE7063" w:rsidRDefault="00993058" w:rsidP="005347A7">
      <w:pPr>
        <w:spacing w:before="240" w:after="240" w:line="360" w:lineRule="auto"/>
        <w:jc w:val="both"/>
        <w:rPr>
          <w:rFonts w:ascii="Palatino Linotype" w:hAnsi="Palatino Linotype" w:cs="Arial"/>
          <w:b/>
        </w:rPr>
      </w:pPr>
      <w:r w:rsidRPr="00EE7063">
        <w:rPr>
          <w:rFonts w:ascii="Palatino Linotype" w:hAnsi="Palatino Linotype" w:cs="Arial"/>
          <w:b/>
        </w:rPr>
        <w:t>2</w:t>
      </w:r>
      <w:r w:rsidR="00702F82" w:rsidRPr="00EE7063">
        <w:rPr>
          <w:rFonts w:ascii="Palatino Linotype" w:hAnsi="Palatino Linotype" w:cs="Arial"/>
          <w:b/>
        </w:rPr>
        <w:t xml:space="preserve">. </w:t>
      </w:r>
      <w:r w:rsidR="0004420F" w:rsidRPr="00EE7063">
        <w:rPr>
          <w:rFonts w:ascii="Palatino Linotype" w:hAnsi="Palatino Linotype" w:cs="Arial"/>
          <w:b/>
        </w:rPr>
        <w:t xml:space="preserve">Respuesta. </w:t>
      </w:r>
      <w:r w:rsidR="005347A7" w:rsidRPr="00EE7063">
        <w:rPr>
          <w:rFonts w:ascii="Palatino Linotype" w:hAnsi="Palatino Linotype" w:cs="Arial"/>
        </w:rPr>
        <w:t xml:space="preserve">De las constancias que obran en el expediente electrónico del SAIMEX,  </w:t>
      </w:r>
      <w:r w:rsidR="005347A7" w:rsidRPr="00EE7063">
        <w:rPr>
          <w:rFonts w:ascii="Palatino Linotype" w:hAnsi="Palatino Linotype"/>
        </w:rPr>
        <w:t xml:space="preserve">se advierte que el </w:t>
      </w:r>
      <w:r w:rsidR="005347A7" w:rsidRPr="00EE7063">
        <w:rPr>
          <w:rFonts w:ascii="Palatino Linotype" w:hAnsi="Palatino Linotype"/>
          <w:b/>
        </w:rPr>
        <w:t>Sujeto Obligado</w:t>
      </w:r>
      <w:r w:rsidR="005347A7" w:rsidRPr="00EE7063">
        <w:rPr>
          <w:rFonts w:ascii="Palatino Linotype" w:hAnsi="Palatino Linotype"/>
        </w:rPr>
        <w:t xml:space="preserve"> no brindó respuesta a la solicitud de acceso a la información.</w:t>
      </w:r>
    </w:p>
    <w:p w14:paraId="204B7B1F" w14:textId="1D84CA1D" w:rsidR="009E5A7D" w:rsidRPr="00EE7063" w:rsidRDefault="00993058" w:rsidP="009A65F3">
      <w:pPr>
        <w:spacing w:before="240" w:after="240" w:line="360" w:lineRule="auto"/>
        <w:jc w:val="both"/>
        <w:rPr>
          <w:rFonts w:ascii="Palatino Linotype" w:hAnsi="Palatino Linotype" w:cs="Arial"/>
          <w:b/>
        </w:rPr>
      </w:pPr>
      <w:r w:rsidRPr="00EE7063">
        <w:rPr>
          <w:rFonts w:ascii="Palatino Linotype" w:hAnsi="Palatino Linotype" w:cs="Arial"/>
          <w:b/>
        </w:rPr>
        <w:lastRenderedPageBreak/>
        <w:t>3</w:t>
      </w:r>
      <w:r w:rsidR="009E5A7D" w:rsidRPr="00EE7063">
        <w:rPr>
          <w:rFonts w:ascii="Palatino Linotype" w:hAnsi="Palatino Linotype" w:cs="Arial"/>
          <w:b/>
        </w:rPr>
        <w:t xml:space="preserve">. Interposición del recurso de revisión. </w:t>
      </w:r>
      <w:r w:rsidR="009E5A7D" w:rsidRPr="00EE7063">
        <w:rPr>
          <w:rFonts w:ascii="Palatino Linotype" w:hAnsi="Palatino Linotype" w:cs="Arial"/>
        </w:rPr>
        <w:t xml:space="preserve">Inconforme </w:t>
      </w:r>
      <w:r w:rsidR="00F56F30" w:rsidRPr="00EE7063">
        <w:rPr>
          <w:rFonts w:ascii="Palatino Linotype" w:hAnsi="Palatino Linotype" w:cs="Arial"/>
        </w:rPr>
        <w:t>e</w:t>
      </w:r>
      <w:r w:rsidR="009E5A7D" w:rsidRPr="00EE7063">
        <w:rPr>
          <w:rFonts w:ascii="Palatino Linotype" w:hAnsi="Palatino Linotype" w:cs="Arial"/>
        </w:rPr>
        <w:t>l solicitante con la</w:t>
      </w:r>
      <w:r w:rsidR="004817F9" w:rsidRPr="00EE7063">
        <w:rPr>
          <w:rFonts w:ascii="Palatino Linotype" w:hAnsi="Palatino Linotype" w:cs="Arial"/>
        </w:rPr>
        <w:t xml:space="preserve"> </w:t>
      </w:r>
      <w:r w:rsidR="009E5A7D" w:rsidRPr="00EE7063">
        <w:rPr>
          <w:rFonts w:ascii="Palatino Linotype" w:hAnsi="Palatino Linotype" w:cs="Arial"/>
        </w:rPr>
        <w:t xml:space="preserve">respuesta del </w:t>
      </w:r>
      <w:r w:rsidR="009E5A7D" w:rsidRPr="00EE7063">
        <w:rPr>
          <w:rFonts w:ascii="Palatino Linotype" w:hAnsi="Palatino Linotype" w:cs="Arial"/>
          <w:b/>
        </w:rPr>
        <w:t>Sujeto Obligado</w:t>
      </w:r>
      <w:r w:rsidR="009E5A7D" w:rsidRPr="00EE7063">
        <w:rPr>
          <w:rFonts w:ascii="Palatino Linotype" w:hAnsi="Palatino Linotype" w:cs="Arial"/>
        </w:rPr>
        <w:t xml:space="preserve"> interpuso recurso de revisión a través del SAIMEX en fecha </w:t>
      </w:r>
      <w:r w:rsidR="00A055C5" w:rsidRPr="00EE7063">
        <w:rPr>
          <w:rFonts w:ascii="Palatino Linotype" w:hAnsi="Palatino Linotype" w:cs="Arial"/>
        </w:rPr>
        <w:t>veintiocho</w:t>
      </w:r>
      <w:r w:rsidR="00360C3E" w:rsidRPr="00EE7063">
        <w:rPr>
          <w:rFonts w:ascii="Palatino Linotype" w:hAnsi="Palatino Linotype" w:cs="Arial"/>
        </w:rPr>
        <w:t xml:space="preserve"> </w:t>
      </w:r>
      <w:r w:rsidR="009E5A7D" w:rsidRPr="00EE7063">
        <w:rPr>
          <w:rFonts w:ascii="Palatino Linotype" w:hAnsi="Palatino Linotype" w:cs="Arial"/>
        </w:rPr>
        <w:t xml:space="preserve">de </w:t>
      </w:r>
      <w:r w:rsidR="00A055C5" w:rsidRPr="00EE7063">
        <w:rPr>
          <w:rFonts w:ascii="Palatino Linotype" w:hAnsi="Palatino Linotype" w:cs="Arial"/>
        </w:rPr>
        <w:t xml:space="preserve">noviembre </w:t>
      </w:r>
      <w:r w:rsidR="009E5A7D" w:rsidRPr="00EE7063">
        <w:rPr>
          <w:rFonts w:ascii="Palatino Linotype" w:hAnsi="Palatino Linotype" w:cs="Arial"/>
        </w:rPr>
        <w:t xml:space="preserve">de dos mil </w:t>
      </w:r>
      <w:r w:rsidR="00E66C1C" w:rsidRPr="00EE7063">
        <w:rPr>
          <w:rFonts w:ascii="Palatino Linotype" w:hAnsi="Palatino Linotype" w:cs="Arial"/>
        </w:rPr>
        <w:t>dieciocho</w:t>
      </w:r>
      <w:r w:rsidR="009E5A7D" w:rsidRPr="00EE7063">
        <w:rPr>
          <w:rFonts w:ascii="Palatino Linotype" w:hAnsi="Palatino Linotype" w:cs="Arial"/>
        </w:rPr>
        <w:t>, a través del cual expresó lo siguiente:</w:t>
      </w:r>
    </w:p>
    <w:p w14:paraId="0ABF263D" w14:textId="77777777" w:rsidR="009E5A7D" w:rsidRPr="00EE7063" w:rsidRDefault="009E5A7D" w:rsidP="009A65F3">
      <w:pPr>
        <w:spacing w:line="360" w:lineRule="auto"/>
        <w:jc w:val="both"/>
        <w:rPr>
          <w:rFonts w:ascii="Palatino Linotype" w:hAnsi="Palatino Linotype" w:cs="Arial"/>
          <w:b/>
        </w:rPr>
      </w:pPr>
      <w:r w:rsidRPr="00EE7063">
        <w:rPr>
          <w:rFonts w:ascii="Palatino Linotype" w:hAnsi="Palatino Linotype" w:cs="Arial"/>
          <w:b/>
        </w:rPr>
        <w:t>a) Acto impugnado.</w:t>
      </w:r>
    </w:p>
    <w:p w14:paraId="622A9AB2" w14:textId="24B33BBE" w:rsidR="009E5A7D" w:rsidRPr="00EE7063" w:rsidRDefault="009E5A7D" w:rsidP="009A65F3">
      <w:pPr>
        <w:spacing w:before="240" w:after="240"/>
        <w:ind w:left="708" w:right="900"/>
        <w:jc w:val="both"/>
        <w:rPr>
          <w:rFonts w:ascii="Palatino Linotype" w:hAnsi="Palatino Linotype" w:cs="Arial"/>
          <w:i/>
          <w:sz w:val="20"/>
          <w:szCs w:val="22"/>
        </w:rPr>
      </w:pPr>
      <w:r w:rsidRPr="00EE7063">
        <w:rPr>
          <w:rFonts w:ascii="Palatino Linotype" w:hAnsi="Palatino Linotype" w:cs="Arial"/>
          <w:i/>
          <w:sz w:val="20"/>
          <w:szCs w:val="22"/>
        </w:rPr>
        <w:t>“</w:t>
      </w:r>
      <w:r w:rsidR="00A055C5" w:rsidRPr="00EE7063">
        <w:rPr>
          <w:rFonts w:ascii="Palatino Linotype" w:hAnsi="Palatino Linotype" w:cs="Arial"/>
          <w:i/>
          <w:sz w:val="22"/>
          <w:szCs w:val="22"/>
        </w:rPr>
        <w:t>Negativa ficta</w:t>
      </w:r>
      <w:r w:rsidRPr="00EE7063">
        <w:rPr>
          <w:rFonts w:ascii="Palatino Linotype" w:hAnsi="Palatino Linotype" w:cs="Arial"/>
          <w:i/>
          <w:sz w:val="22"/>
          <w:szCs w:val="22"/>
        </w:rPr>
        <w:t>” (sic)</w:t>
      </w:r>
    </w:p>
    <w:p w14:paraId="177D82C5" w14:textId="77777777" w:rsidR="009E5A7D" w:rsidRPr="00EE7063" w:rsidRDefault="009E5A7D" w:rsidP="009A65F3">
      <w:pPr>
        <w:spacing w:line="360" w:lineRule="auto"/>
        <w:jc w:val="both"/>
        <w:rPr>
          <w:rFonts w:ascii="Palatino Linotype" w:hAnsi="Palatino Linotype" w:cs="Arial"/>
          <w:b/>
        </w:rPr>
      </w:pPr>
      <w:r w:rsidRPr="00EE7063">
        <w:rPr>
          <w:rFonts w:ascii="Palatino Linotype" w:hAnsi="Palatino Linotype" w:cs="Arial"/>
          <w:b/>
        </w:rPr>
        <w:t>b) Motivos de inconformidad.</w:t>
      </w:r>
    </w:p>
    <w:p w14:paraId="450E8CD1" w14:textId="1128262E" w:rsidR="009E5A7D" w:rsidRPr="00EE7063" w:rsidRDefault="009E5A7D" w:rsidP="009A65F3">
      <w:pPr>
        <w:spacing w:before="240" w:after="240"/>
        <w:ind w:left="708" w:right="900"/>
        <w:jc w:val="both"/>
        <w:rPr>
          <w:rFonts w:ascii="Palatino Linotype" w:hAnsi="Palatino Linotype" w:cs="Arial"/>
          <w:i/>
          <w:sz w:val="22"/>
          <w:szCs w:val="22"/>
        </w:rPr>
      </w:pPr>
      <w:r w:rsidRPr="00EE7063">
        <w:rPr>
          <w:rFonts w:ascii="Palatino Linotype" w:hAnsi="Palatino Linotype" w:cs="Arial"/>
          <w:i/>
          <w:sz w:val="22"/>
          <w:szCs w:val="22"/>
        </w:rPr>
        <w:t>“</w:t>
      </w:r>
      <w:r w:rsidR="00A055C5" w:rsidRPr="00EE7063">
        <w:rPr>
          <w:rFonts w:ascii="Palatino Linotype" w:hAnsi="Palatino Linotype" w:cs="Arial"/>
          <w:i/>
          <w:sz w:val="22"/>
          <w:szCs w:val="22"/>
        </w:rPr>
        <w:t>Falta de respuesta</w:t>
      </w:r>
      <w:r w:rsidRPr="00EE7063">
        <w:rPr>
          <w:rFonts w:ascii="Palatino Linotype" w:hAnsi="Palatino Linotype" w:cs="Arial"/>
          <w:i/>
          <w:sz w:val="22"/>
          <w:szCs w:val="22"/>
        </w:rPr>
        <w:t>” (sic)</w:t>
      </w:r>
    </w:p>
    <w:p w14:paraId="30960AC9" w14:textId="6FB496CC" w:rsidR="009D2140" w:rsidRPr="00EE7063" w:rsidRDefault="00993058" w:rsidP="009A65F3">
      <w:pPr>
        <w:spacing w:before="240" w:after="240" w:line="360" w:lineRule="auto"/>
        <w:jc w:val="both"/>
        <w:rPr>
          <w:rFonts w:ascii="Palatino Linotype" w:hAnsi="Palatino Linotype"/>
        </w:rPr>
      </w:pPr>
      <w:r w:rsidRPr="00EE7063">
        <w:rPr>
          <w:rFonts w:ascii="Palatino Linotype" w:hAnsi="Palatino Linotype"/>
          <w:b/>
        </w:rPr>
        <w:t>4</w:t>
      </w:r>
      <w:r w:rsidR="00A93331" w:rsidRPr="00EE7063">
        <w:rPr>
          <w:rFonts w:ascii="Palatino Linotype" w:hAnsi="Palatino Linotype"/>
          <w:b/>
        </w:rPr>
        <w:t xml:space="preserve">. Turno. </w:t>
      </w:r>
      <w:r w:rsidR="00A93331" w:rsidRPr="00EE7063">
        <w:rPr>
          <w:rFonts w:ascii="Palatino Linotype" w:hAnsi="Palatino Linotype"/>
        </w:rPr>
        <w:t xml:space="preserve">De conformidad con el artículo 185, fracción I de la </w:t>
      </w:r>
      <w:r w:rsidR="009D2140" w:rsidRPr="00EE7063">
        <w:rPr>
          <w:rFonts w:ascii="Palatino Linotype" w:hAnsi="Palatino Linotype" w:cs="Arial"/>
        </w:rPr>
        <w:t xml:space="preserve">Ley de Transparencia </w:t>
      </w:r>
      <w:r w:rsidR="00A93331" w:rsidRPr="00EE7063">
        <w:rPr>
          <w:rFonts w:ascii="Palatino Linotype" w:hAnsi="Palatino Linotype" w:cs="Arial"/>
        </w:rPr>
        <w:t xml:space="preserve">y Acceso a la Información Pública del Estado de México y Municipios, el recurso de revisión número </w:t>
      </w:r>
      <w:r w:rsidR="005347A7" w:rsidRPr="00EE7063">
        <w:rPr>
          <w:rFonts w:ascii="Palatino Linotype" w:hAnsi="Palatino Linotype" w:cs="Arial"/>
          <w:b/>
        </w:rPr>
        <w:t>0</w:t>
      </w:r>
      <w:r w:rsidR="00264F53" w:rsidRPr="00EE7063">
        <w:rPr>
          <w:rFonts w:ascii="Palatino Linotype" w:hAnsi="Palatino Linotype" w:cs="Arial"/>
          <w:b/>
        </w:rPr>
        <w:t>4534</w:t>
      </w:r>
      <w:r w:rsidR="00155EE8" w:rsidRPr="00EE7063">
        <w:rPr>
          <w:rFonts w:ascii="Palatino Linotype" w:hAnsi="Palatino Linotype" w:cs="Arial"/>
          <w:b/>
        </w:rPr>
        <w:t>/INFOEM/IP/RR/201</w:t>
      </w:r>
      <w:r w:rsidR="005434A9" w:rsidRPr="00EE7063">
        <w:rPr>
          <w:rFonts w:ascii="Palatino Linotype" w:hAnsi="Palatino Linotype" w:cs="Arial"/>
          <w:b/>
        </w:rPr>
        <w:t>8</w:t>
      </w:r>
      <w:r w:rsidR="00A93331" w:rsidRPr="00EE7063">
        <w:rPr>
          <w:rFonts w:ascii="Palatino Linotype" w:hAnsi="Palatino Linotype" w:cs="Arial"/>
          <w:b/>
        </w:rPr>
        <w:t xml:space="preserve"> </w:t>
      </w:r>
      <w:r w:rsidR="00A93331" w:rsidRPr="00EE7063">
        <w:rPr>
          <w:rFonts w:ascii="Palatino Linotype" w:hAnsi="Palatino Linotype" w:cs="Arial"/>
          <w:bCs/>
          <w:lang w:eastAsia="es-MX"/>
        </w:rPr>
        <w:t>fue</w:t>
      </w:r>
      <w:r w:rsidR="00A93331" w:rsidRPr="00EE7063">
        <w:rPr>
          <w:rFonts w:ascii="Palatino Linotype" w:hAnsi="Palatino Linotype" w:cs="Arial"/>
          <w:b/>
          <w:bCs/>
          <w:lang w:eastAsia="es-MX"/>
        </w:rPr>
        <w:t xml:space="preserve"> </w:t>
      </w:r>
      <w:r w:rsidR="00A93331" w:rsidRPr="00EE7063">
        <w:rPr>
          <w:rFonts w:ascii="Palatino Linotype" w:hAnsi="Palatino Linotype"/>
        </w:rPr>
        <w:t xml:space="preserve">turnado al Comisionado ponente, a efecto de que analizara sobre su admisión o su </w:t>
      </w:r>
      <w:r w:rsidR="009D2140" w:rsidRPr="00EE7063">
        <w:rPr>
          <w:rFonts w:ascii="Palatino Linotype" w:hAnsi="Palatino Linotype"/>
        </w:rPr>
        <w:t>desechamiento.</w:t>
      </w:r>
    </w:p>
    <w:p w14:paraId="2F1123DE" w14:textId="1A0F1339" w:rsidR="00A93331" w:rsidRPr="00EE7063" w:rsidRDefault="00993058" w:rsidP="009A65F3">
      <w:pPr>
        <w:spacing w:before="240" w:after="240" w:line="360" w:lineRule="auto"/>
        <w:jc w:val="both"/>
        <w:rPr>
          <w:rFonts w:ascii="Palatino Linotype" w:hAnsi="Palatino Linotype" w:cs="Arial"/>
        </w:rPr>
      </w:pPr>
      <w:r w:rsidRPr="00EE7063">
        <w:rPr>
          <w:rFonts w:ascii="Palatino Linotype" w:hAnsi="Palatino Linotype" w:cs="Arial"/>
          <w:b/>
        </w:rPr>
        <w:t>5</w:t>
      </w:r>
      <w:r w:rsidR="00A93331" w:rsidRPr="00EE7063">
        <w:rPr>
          <w:rFonts w:ascii="Palatino Linotype" w:hAnsi="Palatino Linotype" w:cs="Arial"/>
          <w:b/>
        </w:rPr>
        <w:t xml:space="preserve">. Admisión del recurso de revisión: </w:t>
      </w:r>
      <w:r w:rsidR="00A93331" w:rsidRPr="00EE7063">
        <w:rPr>
          <w:rFonts w:ascii="Palatino Linotype" w:hAnsi="Palatino Linotype" w:cs="Arial"/>
        </w:rPr>
        <w:t xml:space="preserve">En fecha </w:t>
      </w:r>
      <w:r w:rsidR="0022501F" w:rsidRPr="00EE7063">
        <w:rPr>
          <w:rFonts w:ascii="Palatino Linotype" w:hAnsi="Palatino Linotype" w:cs="Arial"/>
        </w:rPr>
        <w:t>cuatro</w:t>
      </w:r>
      <w:r w:rsidR="00991BFD" w:rsidRPr="00EE7063">
        <w:rPr>
          <w:rFonts w:ascii="Palatino Linotype" w:hAnsi="Palatino Linotype" w:cs="Arial"/>
        </w:rPr>
        <w:t xml:space="preserve"> </w:t>
      </w:r>
      <w:r w:rsidR="00A93331" w:rsidRPr="00EE7063">
        <w:rPr>
          <w:rFonts w:ascii="Palatino Linotype" w:hAnsi="Palatino Linotype" w:cs="Arial"/>
        </w:rPr>
        <w:t xml:space="preserve">de </w:t>
      </w:r>
      <w:r w:rsidR="0022501F" w:rsidRPr="00EE7063">
        <w:rPr>
          <w:rFonts w:ascii="Palatino Linotype" w:hAnsi="Palatino Linotype" w:cs="Arial"/>
        </w:rPr>
        <w:t xml:space="preserve">diciembre </w:t>
      </w:r>
      <w:r w:rsidR="004B3628" w:rsidRPr="00EE7063">
        <w:rPr>
          <w:rFonts w:ascii="Palatino Linotype" w:hAnsi="Palatino Linotype" w:cs="Arial"/>
        </w:rPr>
        <w:t>de dos mil dieciocho</w:t>
      </w:r>
      <w:r w:rsidR="00A93331" w:rsidRPr="00EE7063">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28996E85" w14:textId="02AA498F" w:rsidR="00FD3318" w:rsidRPr="00EE7063" w:rsidRDefault="00993058" w:rsidP="00FD3318">
      <w:pPr>
        <w:spacing w:line="360" w:lineRule="auto"/>
        <w:jc w:val="both"/>
        <w:rPr>
          <w:rFonts w:ascii="Palatino Linotype" w:hAnsi="Palatino Linotype" w:cs="Arial"/>
        </w:rPr>
      </w:pPr>
      <w:r w:rsidRPr="00EE7063">
        <w:rPr>
          <w:rFonts w:ascii="Palatino Linotype" w:hAnsi="Palatino Linotype" w:cs="Arial"/>
          <w:b/>
        </w:rPr>
        <w:t>6</w:t>
      </w:r>
      <w:r w:rsidR="00A93331" w:rsidRPr="00EE7063">
        <w:rPr>
          <w:rFonts w:ascii="Palatino Linotype" w:hAnsi="Palatino Linotype" w:cs="Arial"/>
          <w:b/>
        </w:rPr>
        <w:t xml:space="preserve">. Manifestaciones: </w:t>
      </w:r>
      <w:r w:rsidR="00FD3318" w:rsidRPr="00EE7063">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726ABC6" w14:textId="25313907" w:rsidR="00A93331" w:rsidRPr="00EE7063" w:rsidRDefault="00993058" w:rsidP="009A65F3">
      <w:pPr>
        <w:spacing w:before="240" w:after="240" w:line="360" w:lineRule="auto"/>
        <w:jc w:val="both"/>
        <w:rPr>
          <w:rFonts w:ascii="Palatino Linotype" w:hAnsi="Palatino Linotype"/>
        </w:rPr>
      </w:pPr>
      <w:r w:rsidRPr="00EE7063">
        <w:rPr>
          <w:rFonts w:ascii="Palatino Linotype" w:hAnsi="Palatino Linotype"/>
          <w:b/>
        </w:rPr>
        <w:lastRenderedPageBreak/>
        <w:t>7</w:t>
      </w:r>
      <w:r w:rsidR="00A93331" w:rsidRPr="00EE7063">
        <w:rPr>
          <w:rFonts w:ascii="Palatino Linotype" w:hAnsi="Palatino Linotype"/>
          <w:b/>
        </w:rPr>
        <w:t xml:space="preserve">. Cierre de instrucción. </w:t>
      </w:r>
      <w:r w:rsidR="00A93331" w:rsidRPr="00EE7063">
        <w:rPr>
          <w:rFonts w:ascii="Palatino Linotype" w:hAnsi="Palatino Linotype"/>
        </w:rPr>
        <w:t xml:space="preserve">En </w:t>
      </w:r>
      <w:r w:rsidR="008F0925" w:rsidRPr="00EE7063">
        <w:rPr>
          <w:rFonts w:ascii="Palatino Linotype" w:hAnsi="Palatino Linotype"/>
        </w:rPr>
        <w:t xml:space="preserve">fecha </w:t>
      </w:r>
      <w:r w:rsidR="00807CCB" w:rsidRPr="00EE7063">
        <w:rPr>
          <w:rFonts w:ascii="Palatino Linotype" w:hAnsi="Palatino Linotype"/>
        </w:rPr>
        <w:t>dieciséis</w:t>
      </w:r>
      <w:r w:rsidR="004D5493" w:rsidRPr="00EE7063">
        <w:rPr>
          <w:rFonts w:ascii="Palatino Linotype" w:hAnsi="Palatino Linotype"/>
        </w:rPr>
        <w:t xml:space="preserve"> </w:t>
      </w:r>
      <w:r w:rsidR="009D2140" w:rsidRPr="00EE7063">
        <w:rPr>
          <w:rFonts w:ascii="Palatino Linotype" w:hAnsi="Palatino Linotype"/>
        </w:rPr>
        <w:t>de</w:t>
      </w:r>
      <w:r w:rsidR="002D550A" w:rsidRPr="00EE7063">
        <w:rPr>
          <w:rFonts w:ascii="Palatino Linotype" w:hAnsi="Palatino Linotype"/>
        </w:rPr>
        <w:t xml:space="preserve"> </w:t>
      </w:r>
      <w:r w:rsidR="00807CCB" w:rsidRPr="00EE7063">
        <w:rPr>
          <w:rFonts w:ascii="Palatino Linotype" w:hAnsi="Palatino Linotype"/>
        </w:rPr>
        <w:t xml:space="preserve">enero </w:t>
      </w:r>
      <w:r w:rsidR="009A6C40" w:rsidRPr="00EE7063">
        <w:rPr>
          <w:rFonts w:ascii="Palatino Linotype" w:hAnsi="Palatino Linotype"/>
        </w:rPr>
        <w:t>de dos mil dieci</w:t>
      </w:r>
      <w:r w:rsidR="00807CCB" w:rsidRPr="00EE7063">
        <w:rPr>
          <w:rFonts w:ascii="Palatino Linotype" w:hAnsi="Palatino Linotype"/>
        </w:rPr>
        <w:t>nueve</w:t>
      </w:r>
      <w:r w:rsidR="00A93331" w:rsidRPr="00EE7063">
        <w:rPr>
          <w:rFonts w:ascii="Palatino Linotype" w:hAnsi="Palatino Linotype"/>
        </w:rPr>
        <w:t xml:space="preserve"> el Comisionado ponente determinó el cierre de instrucción en términos de la fracción VI  del artículo 18</w:t>
      </w:r>
      <w:r w:rsidR="009A6C40" w:rsidRPr="00EE7063">
        <w:rPr>
          <w:rFonts w:ascii="Palatino Linotype" w:hAnsi="Palatino Linotype"/>
        </w:rPr>
        <w:t>5 de la Ley de Transparencia y Acceso a la I</w:t>
      </w:r>
      <w:r w:rsidR="00A93331" w:rsidRPr="00EE7063">
        <w:rPr>
          <w:rFonts w:ascii="Palatino Linotype" w:hAnsi="Palatino Linotype"/>
        </w:rPr>
        <w:t>nformación Pública del Estado de México y Municipios.</w:t>
      </w:r>
    </w:p>
    <w:p w14:paraId="4D65CB86" w14:textId="77777777" w:rsidR="009E5A7D" w:rsidRPr="00EE7063" w:rsidRDefault="009E5A7D" w:rsidP="00B527D6">
      <w:pPr>
        <w:pStyle w:val="Prrafodelista"/>
        <w:numPr>
          <w:ilvl w:val="0"/>
          <w:numId w:val="1"/>
        </w:numPr>
        <w:spacing w:before="240" w:after="240" w:line="360" w:lineRule="auto"/>
        <w:ind w:left="720"/>
        <w:contextualSpacing/>
        <w:jc w:val="center"/>
        <w:rPr>
          <w:rFonts w:ascii="Palatino Linotype" w:hAnsi="Palatino Linotype" w:cs="Arial"/>
          <w:b/>
        </w:rPr>
      </w:pPr>
      <w:r w:rsidRPr="00EE7063">
        <w:rPr>
          <w:rFonts w:ascii="Palatino Linotype" w:hAnsi="Palatino Linotype" w:cs="Arial"/>
          <w:b/>
        </w:rPr>
        <w:t>C O N S I D E R A N D O:</w:t>
      </w:r>
    </w:p>
    <w:p w14:paraId="28FC08F3" w14:textId="7780A7EC" w:rsidR="00A93331" w:rsidRPr="00EE7063" w:rsidRDefault="00A93331" w:rsidP="009A65F3">
      <w:pPr>
        <w:spacing w:before="240" w:after="240" w:line="360" w:lineRule="auto"/>
        <w:jc w:val="both"/>
        <w:rPr>
          <w:rFonts w:ascii="Palatino Linotype" w:hAnsi="Palatino Linotype"/>
          <w:shd w:val="clear" w:color="auto" w:fill="FFFFFF"/>
        </w:rPr>
      </w:pPr>
      <w:r w:rsidRPr="00EE7063">
        <w:rPr>
          <w:rFonts w:ascii="Palatino Linotype" w:hAnsi="Palatino Linotype" w:cs="Arial"/>
          <w:b/>
        </w:rPr>
        <w:t xml:space="preserve">Primero. Competencia. </w:t>
      </w:r>
      <w:r w:rsidRPr="00EE706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EE7063">
        <w:rPr>
          <w:rFonts w:ascii="Palatino Linotype" w:hAnsi="Palatino Linotype"/>
          <w:shd w:val="clear" w:color="auto" w:fill="FFFFFF"/>
        </w:rPr>
        <w:t>vigésimo</w:t>
      </w:r>
      <w:r w:rsidRPr="00EE7063">
        <w:rPr>
          <w:rFonts w:ascii="Palatino Linotype" w:hAnsi="Palatino Linotype"/>
          <w:shd w:val="clear" w:color="auto" w:fill="FFFFFF"/>
        </w:rPr>
        <w:t xml:space="preserve">, </w:t>
      </w:r>
      <w:r w:rsidR="006B0DBD" w:rsidRPr="00EE7063">
        <w:rPr>
          <w:rFonts w:ascii="Palatino Linotype" w:hAnsi="Palatino Linotype"/>
          <w:shd w:val="clear" w:color="auto" w:fill="FFFFFF"/>
        </w:rPr>
        <w:t>vigésimo primero</w:t>
      </w:r>
      <w:r w:rsidRPr="00EE7063">
        <w:rPr>
          <w:rFonts w:ascii="Palatino Linotype" w:hAnsi="Palatino Linotype"/>
          <w:shd w:val="clear" w:color="auto" w:fill="FFFFFF"/>
        </w:rPr>
        <w:t xml:space="preserve"> y </w:t>
      </w:r>
      <w:r w:rsidR="006B0DBD" w:rsidRPr="00EE7063">
        <w:rPr>
          <w:rFonts w:ascii="Palatino Linotype" w:hAnsi="Palatino Linotype"/>
          <w:shd w:val="clear" w:color="auto" w:fill="FFFFFF"/>
        </w:rPr>
        <w:t>vigésimo segundo, fracciones</w:t>
      </w:r>
      <w:r w:rsidRPr="00EE7063">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EE7063">
        <w:rPr>
          <w:rStyle w:val="apple-converted-space"/>
          <w:rFonts w:ascii="Palatino Linotype" w:hAnsi="Palatino Linotype"/>
          <w:shd w:val="clear" w:color="auto" w:fill="FFFFFF"/>
        </w:rPr>
        <w:t> </w:t>
      </w:r>
      <w:r w:rsidR="009A6C40" w:rsidRPr="00EE7063">
        <w:rPr>
          <w:rFonts w:ascii="Palatino Linotype" w:hAnsi="Palatino Linotype" w:cs="Arial"/>
        </w:rPr>
        <w:t xml:space="preserve">9, fracciones I y XXIV y 11 </w:t>
      </w:r>
      <w:r w:rsidRPr="00EE706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E997045" w14:textId="77777777" w:rsidR="003130CE" w:rsidRPr="00EE7063" w:rsidRDefault="003130CE" w:rsidP="003130CE">
      <w:pPr>
        <w:spacing w:before="240" w:after="240" w:line="360" w:lineRule="auto"/>
        <w:jc w:val="both"/>
        <w:rPr>
          <w:rFonts w:ascii="Palatino Linotype" w:hAnsi="Palatino Linotype" w:cs="Arial"/>
        </w:rPr>
      </w:pPr>
      <w:r w:rsidRPr="00EE7063">
        <w:rPr>
          <w:rFonts w:ascii="Palatino Linotype" w:hAnsi="Palatino Linotype" w:cs="Arial"/>
          <w:b/>
        </w:rPr>
        <w:t>Segundo. Oportunidad y Procedibilidad del Recurso de Revisión</w:t>
      </w:r>
      <w:r w:rsidRPr="00EE7063">
        <w:rPr>
          <w:rFonts w:ascii="Palatino Linotype" w:hAnsi="Palatino Linotype" w:cs="Arial"/>
        </w:rPr>
        <w:t xml:space="preserve">. 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w:t>
      </w:r>
      <w:r w:rsidRPr="00EE7063">
        <w:rPr>
          <w:rFonts w:ascii="Palatino Linotype" w:hAnsi="Palatino Linotype" w:cs="Arial"/>
        </w:rPr>
        <w:lastRenderedPageBreak/>
        <w:t>solicitud, plazo que podrá ampliarse excepcionalmente hasta por siete días cuando existan razones fundadas y motivadas para ello.</w:t>
      </w:r>
    </w:p>
    <w:p w14:paraId="1F74D811" w14:textId="77777777" w:rsidR="003130CE" w:rsidRPr="00EE7063" w:rsidRDefault="003130CE" w:rsidP="003130CE">
      <w:pPr>
        <w:spacing w:before="240" w:after="240" w:line="360" w:lineRule="auto"/>
        <w:jc w:val="both"/>
        <w:rPr>
          <w:rFonts w:ascii="Palatino Linotype" w:hAnsi="Palatino Linotype" w:cs="Arial"/>
        </w:rPr>
      </w:pPr>
      <w:r w:rsidRPr="00EE7063">
        <w:rPr>
          <w:rFonts w:ascii="Palatino Linotype" w:hAnsi="Palatino Linotype" w:cs="Arial"/>
        </w:rPr>
        <w:t>Por otra parte el artículo 166 de la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6091C536" w14:textId="77777777" w:rsidR="003130CE" w:rsidRPr="00EE7063" w:rsidRDefault="003130CE" w:rsidP="003130CE">
      <w:pPr>
        <w:spacing w:before="240" w:after="240" w:line="360" w:lineRule="auto"/>
        <w:jc w:val="both"/>
        <w:rPr>
          <w:rFonts w:ascii="Palatino Linotype" w:hAnsi="Palatino Linotype" w:cs="Arial"/>
        </w:rPr>
      </w:pPr>
      <w:r w:rsidRPr="00EE7063">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w:t>
      </w:r>
    </w:p>
    <w:p w14:paraId="53479BEE" w14:textId="77777777" w:rsidR="003130CE" w:rsidRPr="00EE7063" w:rsidRDefault="003130CE" w:rsidP="003130CE">
      <w:pPr>
        <w:spacing w:before="240" w:after="240" w:line="360" w:lineRule="auto"/>
        <w:jc w:val="both"/>
        <w:rPr>
          <w:rFonts w:ascii="Palatino Linotype" w:hAnsi="Palatino Linotype" w:cs="Arial"/>
        </w:rPr>
      </w:pPr>
      <w:r w:rsidRPr="00EE7063">
        <w:rPr>
          <w:rFonts w:ascii="Palatino Linotype" w:hAnsi="Palatino Linotype" w:cs="Arial"/>
        </w:rPr>
        <w:t xml:space="preserve">De tal manera que, ante la omisión de respuesta por parte del Sujeto Obligado, se constituye lo que se conoce como </w:t>
      </w:r>
      <w:r w:rsidRPr="00EE7063">
        <w:rPr>
          <w:rFonts w:ascii="Palatino Linotype" w:hAnsi="Palatino Linotype" w:cs="Arial"/>
          <w:i/>
        </w:rPr>
        <w:t>negativa ficta</w:t>
      </w:r>
      <w:r w:rsidRPr="00EE7063">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7D35E834" w14:textId="77777777" w:rsidR="003130CE" w:rsidRPr="00EE7063" w:rsidRDefault="003130CE" w:rsidP="003130CE">
      <w:pPr>
        <w:spacing w:before="240" w:after="240" w:line="360" w:lineRule="auto"/>
        <w:jc w:val="both"/>
        <w:rPr>
          <w:rFonts w:ascii="Palatino Linotype" w:hAnsi="Palatino Linotype" w:cs="Arial"/>
        </w:rPr>
      </w:pPr>
      <w:r w:rsidRPr="00EE7063">
        <w:rPr>
          <w:rFonts w:ascii="Palatino Linotype" w:hAnsi="Palatino Linotype" w:cs="Arial"/>
        </w:rPr>
        <w:t xml:space="preserve">Así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w:t>
      </w:r>
      <w:r w:rsidRPr="00EE7063">
        <w:rPr>
          <w:rFonts w:ascii="Palatino Linotype" w:hAnsi="Palatino Linotype" w:cs="Arial"/>
        </w:rPr>
        <w:lastRenderedPageBreak/>
        <w:t>de la cual se pueda computar el plazo dispuesto en el artículo 178 de la Ley de la Materia, para la presentación del recurso de revisión.</w:t>
      </w:r>
    </w:p>
    <w:p w14:paraId="1819FE91" w14:textId="77777777" w:rsidR="003130CE" w:rsidRPr="00EE7063" w:rsidRDefault="003130CE" w:rsidP="003130CE">
      <w:pPr>
        <w:spacing w:before="240" w:after="240" w:line="360" w:lineRule="auto"/>
        <w:jc w:val="both"/>
        <w:rPr>
          <w:rFonts w:ascii="Palatino Linotype" w:hAnsi="Palatino Linotype" w:cs="Arial"/>
        </w:rPr>
      </w:pPr>
      <w:r w:rsidRPr="00EE7063">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a continuación:</w:t>
      </w:r>
    </w:p>
    <w:p w14:paraId="3847B4E7" w14:textId="77777777" w:rsidR="003130CE" w:rsidRPr="00EE7063" w:rsidRDefault="003130CE" w:rsidP="003130CE">
      <w:pPr>
        <w:spacing w:before="240" w:after="240"/>
        <w:ind w:left="851" w:right="900"/>
        <w:jc w:val="both"/>
        <w:rPr>
          <w:rFonts w:ascii="Palatino Linotype" w:hAnsi="Palatino Linotype"/>
          <w:i/>
          <w:sz w:val="22"/>
          <w:szCs w:val="22"/>
        </w:rPr>
      </w:pPr>
      <w:r w:rsidRPr="00EE7063">
        <w:rPr>
          <w:rFonts w:ascii="Palatino Linotype" w:hAnsi="Palatino Linotype" w:cs="Arial"/>
          <w:i/>
          <w:sz w:val="22"/>
          <w:szCs w:val="22"/>
        </w:rPr>
        <w:t>“</w:t>
      </w:r>
      <w:r w:rsidRPr="00EE7063">
        <w:rPr>
          <w:rFonts w:ascii="Palatino Linotype" w:hAnsi="Palatino Linotype"/>
          <w:b/>
          <w:i/>
          <w:sz w:val="22"/>
          <w:szCs w:val="22"/>
        </w:rPr>
        <w:t>Artículo 178</w:t>
      </w:r>
      <w:r w:rsidRPr="00EE7063">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31F3CC8C" w14:textId="77777777" w:rsidR="003130CE" w:rsidRPr="00EE7063" w:rsidRDefault="003130CE" w:rsidP="003130CE">
      <w:pPr>
        <w:spacing w:before="240" w:after="240"/>
        <w:ind w:left="851" w:right="900"/>
        <w:jc w:val="both"/>
        <w:rPr>
          <w:rFonts w:ascii="Palatino Linotype" w:hAnsi="Palatino Linotype" w:cs="Arial"/>
        </w:rPr>
      </w:pPr>
      <w:r w:rsidRPr="00EE7063">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EE7063">
        <w:rPr>
          <w:rFonts w:ascii="Palatino Linotype" w:hAnsi="Palatino Linotype"/>
          <w:i/>
          <w:sz w:val="22"/>
          <w:szCs w:val="22"/>
        </w:rPr>
        <w:t xml:space="preserve"> acompañado con el documento que pruebe la fecha en que presentó la solicitud…”</w:t>
      </w:r>
    </w:p>
    <w:p w14:paraId="70FAED66" w14:textId="77777777" w:rsidR="003130CE" w:rsidRPr="00EE7063" w:rsidRDefault="003130CE" w:rsidP="003130CE">
      <w:pPr>
        <w:spacing w:before="240" w:after="240" w:line="360" w:lineRule="auto"/>
        <w:ind w:right="51"/>
        <w:jc w:val="both"/>
        <w:rPr>
          <w:rFonts w:ascii="Palatino Linotype" w:hAnsi="Palatino Linotype"/>
          <w:i/>
        </w:rPr>
      </w:pPr>
      <w:r w:rsidRPr="00EE7063">
        <w:rPr>
          <w:rFonts w:ascii="Palatino Linotype" w:hAnsi="Palatino Linotype" w:cs="Arial"/>
        </w:rPr>
        <w:t>Postura que ha sido adoptada por este Órgano Garante mediante criterio número</w:t>
      </w:r>
      <w:r w:rsidRPr="00EE7063">
        <w:rPr>
          <w:rFonts w:ascii="Palatino Linotype" w:hAnsi="Palatino Linotype" w:cs="Arial"/>
          <w:color w:val="FF0000"/>
        </w:rPr>
        <w:t xml:space="preserve"> </w:t>
      </w:r>
      <w:r w:rsidRPr="00EE7063">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5725A63" w14:textId="77777777" w:rsidR="003130CE" w:rsidRPr="00EE7063" w:rsidRDefault="003130CE" w:rsidP="003130CE">
      <w:pPr>
        <w:ind w:left="993" w:right="1041"/>
        <w:jc w:val="both"/>
        <w:rPr>
          <w:rFonts w:ascii="Palatino Linotype" w:hAnsi="Palatino Linotype"/>
          <w:i/>
          <w:sz w:val="22"/>
          <w:szCs w:val="22"/>
        </w:rPr>
      </w:pPr>
      <w:r w:rsidRPr="00EE7063">
        <w:rPr>
          <w:rFonts w:ascii="Palatino Linotype" w:hAnsi="Palatino Linotype"/>
          <w:b/>
          <w:i/>
          <w:sz w:val="22"/>
          <w:szCs w:val="22"/>
        </w:rPr>
        <w:t>“CRITERIO 0001-15 NEGATIVA FICTA. PLAZO PARA INTERPONER EL RECURSO DE REVISIÓN TRATÁNDOSE DE</w:t>
      </w:r>
      <w:r w:rsidRPr="00EE7063">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w:t>
      </w:r>
      <w:r w:rsidRPr="00EE7063">
        <w:rPr>
          <w:rFonts w:ascii="Palatino Linotype" w:hAnsi="Palatino Linotype"/>
          <w:i/>
          <w:sz w:val="22"/>
          <w:szCs w:val="22"/>
        </w:rPr>
        <w:lastRenderedPageBreak/>
        <w:t>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F027D60" w14:textId="77777777" w:rsidR="003130CE" w:rsidRPr="00EE7063" w:rsidRDefault="003130CE" w:rsidP="003130CE">
      <w:pPr>
        <w:spacing w:before="240" w:after="240" w:line="360" w:lineRule="auto"/>
        <w:jc w:val="both"/>
        <w:rPr>
          <w:rFonts w:ascii="Palatino Linotype" w:hAnsi="Palatino Linotype"/>
          <w:color w:val="000000"/>
        </w:rPr>
      </w:pPr>
      <w:r w:rsidRPr="00EE7063">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D90BDEA" w14:textId="77777777" w:rsidR="003130CE" w:rsidRPr="00EE7063" w:rsidRDefault="003130CE" w:rsidP="003130CE">
      <w:pPr>
        <w:spacing w:line="360" w:lineRule="auto"/>
        <w:jc w:val="both"/>
        <w:rPr>
          <w:rFonts w:ascii="Palatino Linotype" w:hAnsi="Palatino Linotype" w:cs="Segoe UI"/>
        </w:rPr>
      </w:pPr>
      <w:r w:rsidRPr="00EE7063">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EE7063">
        <w:rPr>
          <w:rStyle w:val="apple-converted-space"/>
          <w:rFonts w:ascii="Palatino Linotype" w:hAnsi="Palatino Linotype" w:cs="Segoe UI"/>
        </w:rPr>
        <w:t> </w:t>
      </w:r>
      <w:r w:rsidRPr="00EE7063">
        <w:rPr>
          <w:rStyle w:val="normaltextrun"/>
          <w:rFonts w:ascii="Palatino Linotype" w:hAnsi="Palatino Linotype" w:cs="Segoe UI"/>
        </w:rPr>
        <w:t>179, fracción VII del ordenamiento legal citado, que a la letra dice:</w:t>
      </w:r>
      <w:r w:rsidRPr="00EE7063">
        <w:rPr>
          <w:rStyle w:val="eop"/>
          <w:rFonts w:ascii="Palatino Linotype" w:hAnsi="Palatino Linotype" w:cs="Segoe UI"/>
        </w:rPr>
        <w:t> </w:t>
      </w:r>
    </w:p>
    <w:p w14:paraId="44D2A588" w14:textId="77777777" w:rsidR="003130CE" w:rsidRPr="00EE7063" w:rsidRDefault="003130CE" w:rsidP="003130CE">
      <w:pPr>
        <w:pStyle w:val="paragraph"/>
        <w:spacing w:before="0" w:beforeAutospacing="0" w:after="0" w:afterAutospacing="0"/>
        <w:ind w:left="993" w:right="1041"/>
        <w:jc w:val="both"/>
        <w:textAlignment w:val="baseline"/>
        <w:rPr>
          <w:rFonts w:ascii="Palatino Linotype" w:hAnsi="Palatino Linotype"/>
          <w:i/>
          <w:sz w:val="22"/>
          <w:szCs w:val="22"/>
        </w:rPr>
      </w:pPr>
      <w:r w:rsidRPr="00EE7063">
        <w:rPr>
          <w:rStyle w:val="normaltextrun"/>
          <w:rFonts w:ascii="Palatino Linotype" w:hAnsi="Palatino Linotype" w:cs="Segoe UI"/>
          <w:b/>
          <w:bCs/>
          <w:i/>
          <w:iCs/>
          <w:sz w:val="22"/>
          <w:szCs w:val="22"/>
        </w:rPr>
        <w:t>“</w:t>
      </w:r>
      <w:r w:rsidRPr="00EE7063">
        <w:rPr>
          <w:rFonts w:ascii="Palatino Linotype" w:hAnsi="Palatino Linotype"/>
          <w:b/>
          <w:i/>
          <w:sz w:val="22"/>
          <w:szCs w:val="22"/>
        </w:rPr>
        <w:t>Artículo 179</w:t>
      </w:r>
      <w:r w:rsidRPr="00EE7063">
        <w:rPr>
          <w:rFonts w:ascii="Palatino Linotype" w:hAnsi="Palatino Linotype"/>
          <w:i/>
          <w:sz w:val="22"/>
          <w:szCs w:val="22"/>
        </w:rPr>
        <w:t xml:space="preserve">. </w:t>
      </w:r>
      <w:r w:rsidRPr="00EE7063">
        <w:rPr>
          <w:rFonts w:ascii="Palatino Linotype" w:hAnsi="Palatino Linotype"/>
          <w:b/>
          <w:i/>
          <w:sz w:val="22"/>
          <w:szCs w:val="22"/>
        </w:rPr>
        <w:t>El recurso de revisión</w:t>
      </w:r>
      <w:r w:rsidRPr="00EE7063">
        <w:rPr>
          <w:rFonts w:ascii="Palatino Linotype" w:hAnsi="Palatino Linotype"/>
          <w:i/>
          <w:sz w:val="22"/>
          <w:szCs w:val="22"/>
        </w:rPr>
        <w:t xml:space="preserve"> es un medio de protección que la Ley otorga a los particulares, para hacer valer su derecho de acceso a la información pública</w:t>
      </w:r>
      <w:r w:rsidRPr="00EE7063">
        <w:rPr>
          <w:rFonts w:ascii="Palatino Linotype" w:hAnsi="Palatino Linotype"/>
          <w:b/>
          <w:i/>
          <w:sz w:val="22"/>
          <w:szCs w:val="22"/>
        </w:rPr>
        <w:t>, y procederá en contra de las siguientes causas</w:t>
      </w:r>
      <w:r w:rsidRPr="00EE7063">
        <w:rPr>
          <w:rFonts w:ascii="Palatino Linotype" w:hAnsi="Palatino Linotype"/>
          <w:i/>
          <w:sz w:val="22"/>
          <w:szCs w:val="22"/>
        </w:rPr>
        <w:t>:</w:t>
      </w:r>
    </w:p>
    <w:p w14:paraId="60251EFB" w14:textId="77777777" w:rsidR="003130CE" w:rsidRPr="00EE7063" w:rsidRDefault="003130CE" w:rsidP="003130CE">
      <w:pPr>
        <w:pStyle w:val="paragraph"/>
        <w:spacing w:before="0" w:beforeAutospacing="0" w:after="0" w:afterAutospacing="0"/>
        <w:ind w:left="993" w:right="1041"/>
        <w:jc w:val="both"/>
        <w:textAlignment w:val="baseline"/>
        <w:rPr>
          <w:rFonts w:ascii="Palatino Linotype" w:hAnsi="Palatino Linotype"/>
          <w:i/>
          <w:sz w:val="22"/>
          <w:szCs w:val="22"/>
        </w:rPr>
      </w:pPr>
      <w:r w:rsidRPr="00EE7063">
        <w:t>…</w:t>
      </w:r>
    </w:p>
    <w:p w14:paraId="0B227574" w14:textId="77777777" w:rsidR="003130CE" w:rsidRPr="00EE7063" w:rsidRDefault="003130CE" w:rsidP="003130C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E7063">
        <w:rPr>
          <w:rStyle w:val="normaltextrun"/>
          <w:rFonts w:ascii="Palatino Linotype" w:hAnsi="Palatino Linotype" w:cs="Segoe UI"/>
          <w:b/>
          <w:bCs/>
          <w:i/>
          <w:iCs/>
          <w:sz w:val="22"/>
          <w:szCs w:val="22"/>
        </w:rPr>
        <w:t>VII.</w:t>
      </w:r>
      <w:r w:rsidRPr="00EE7063">
        <w:rPr>
          <w:rStyle w:val="normaltextrun"/>
          <w:rFonts w:ascii="Palatino Linotype" w:hAnsi="Palatino Linotype" w:cs="Segoe UI"/>
          <w:bCs/>
          <w:i/>
          <w:iCs/>
          <w:sz w:val="22"/>
          <w:szCs w:val="22"/>
        </w:rPr>
        <w:t xml:space="preserve"> La falta de respuesta a una solicitud de acceso a la información;</w:t>
      </w:r>
    </w:p>
    <w:p w14:paraId="440096B1" w14:textId="77777777" w:rsidR="003130CE" w:rsidRPr="00EE7063" w:rsidRDefault="003130CE" w:rsidP="003130C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E7063">
        <w:rPr>
          <w:rStyle w:val="normaltextrun"/>
          <w:rFonts w:ascii="Palatino Linotype" w:hAnsi="Palatino Linotype" w:cs="Segoe UI"/>
          <w:b/>
          <w:bCs/>
          <w:i/>
          <w:iCs/>
          <w:sz w:val="22"/>
          <w:szCs w:val="22"/>
        </w:rPr>
        <w:t>…</w:t>
      </w:r>
      <w:r w:rsidRPr="00EE7063">
        <w:rPr>
          <w:rStyle w:val="normaltextrun"/>
          <w:rFonts w:ascii="Palatino Linotype" w:hAnsi="Palatino Linotype" w:cs="Segoe UI"/>
          <w:bCs/>
          <w:i/>
          <w:iCs/>
          <w:sz w:val="22"/>
          <w:szCs w:val="22"/>
        </w:rPr>
        <w:t>”</w:t>
      </w:r>
    </w:p>
    <w:p w14:paraId="65A1DCF0" w14:textId="2B35BE8B" w:rsidR="003130CE" w:rsidRPr="00EE7063" w:rsidRDefault="003130CE" w:rsidP="003130C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EE7063">
        <w:rPr>
          <w:rStyle w:val="normaltextrun"/>
          <w:rFonts w:ascii="Palatino Linotype" w:hAnsi="Palatino Linotype" w:cs="Segoe UI"/>
        </w:rPr>
        <w:t>Lo anterior se estima así puesto que la parte recurrente se duele de que el Sujeto Obligado no</w:t>
      </w:r>
      <w:r w:rsidR="0047648E" w:rsidRPr="00EE7063">
        <w:rPr>
          <w:rStyle w:val="normaltextrun"/>
          <w:rFonts w:ascii="Palatino Linotype" w:hAnsi="Palatino Linotype" w:cs="Segoe UI"/>
        </w:rPr>
        <w:t xml:space="preserve"> atendió</w:t>
      </w:r>
      <w:r w:rsidRPr="00EE7063">
        <w:rPr>
          <w:rStyle w:val="normaltextrun"/>
          <w:rFonts w:ascii="Palatino Linotype" w:hAnsi="Palatino Linotype" w:cs="Segoe UI"/>
        </w:rPr>
        <w:t xml:space="preserve"> su solicitud de información en el plazo dictado por la Ley, vulnerando con ello su derecho de acceso a la información pública.</w:t>
      </w:r>
    </w:p>
    <w:p w14:paraId="4504AC22" w14:textId="77777777" w:rsidR="006041B7" w:rsidRPr="00EE7063" w:rsidRDefault="00971D31" w:rsidP="006041B7">
      <w:pPr>
        <w:spacing w:before="240" w:after="240" w:line="360" w:lineRule="auto"/>
        <w:jc w:val="both"/>
        <w:rPr>
          <w:rFonts w:ascii="Palatino Linotype" w:hAnsi="Palatino Linotype" w:cs="Arial"/>
          <w:b/>
        </w:rPr>
      </w:pPr>
      <w:r w:rsidRPr="00EE7063">
        <w:rPr>
          <w:rFonts w:ascii="Palatino Linotype" w:hAnsi="Palatino Linotype" w:cs="Arial"/>
          <w:b/>
        </w:rPr>
        <w:t xml:space="preserve">Tercero. </w:t>
      </w:r>
      <w:r w:rsidR="006041B7" w:rsidRPr="00EE7063">
        <w:rPr>
          <w:rFonts w:ascii="Palatino Linotype" w:hAnsi="Palatino Linotype" w:cs="Arial"/>
          <w:b/>
        </w:rPr>
        <w:t xml:space="preserve">Materia de la revisión. </w:t>
      </w:r>
      <w:r w:rsidR="006041B7" w:rsidRPr="00EE7063">
        <w:rPr>
          <w:rFonts w:ascii="Palatino Linotype" w:hAnsi="Palatino Linotype" w:cs="Arial"/>
        </w:rPr>
        <w:t xml:space="preserve">De la revisión a las constancias que obran en los expedientes electrónicos se advierte que el tema sobre el que este Instituto se pronunciará será: </w:t>
      </w:r>
      <w:r w:rsidR="006041B7" w:rsidRPr="00EE7063">
        <w:rPr>
          <w:rFonts w:ascii="Palatino Linotype" w:hAnsi="Palatino Linotype" w:cs="Arial"/>
          <w:b/>
        </w:rPr>
        <w:t xml:space="preserve">verificar si el Sujeto Obligado en el ejercicio de sus atribuciones </w:t>
      </w:r>
      <w:r w:rsidR="006041B7" w:rsidRPr="00EE7063">
        <w:rPr>
          <w:rFonts w:ascii="Palatino Linotype" w:hAnsi="Palatino Linotype" w:cs="Arial"/>
          <w:b/>
        </w:rPr>
        <w:lastRenderedPageBreak/>
        <w:t>posee, administra o genera la información solicitada y si resulta procedente su entrega.</w:t>
      </w:r>
    </w:p>
    <w:p w14:paraId="627F1933" w14:textId="705F10A6" w:rsidR="006B0DBD" w:rsidRPr="00EE7063" w:rsidRDefault="00971D31" w:rsidP="009A65F3">
      <w:pPr>
        <w:spacing w:before="240" w:after="240" w:line="360" w:lineRule="auto"/>
        <w:jc w:val="both"/>
        <w:rPr>
          <w:rFonts w:ascii="Palatino Linotype" w:hAnsi="Palatino Linotype" w:cs="Arial"/>
        </w:rPr>
      </w:pPr>
      <w:r w:rsidRPr="00EE7063">
        <w:rPr>
          <w:rFonts w:ascii="Palatino Linotype" w:hAnsi="Palatino Linotype" w:cs="Arial"/>
          <w:b/>
        </w:rPr>
        <w:t xml:space="preserve">Cuarto. Estudio del asunto. </w:t>
      </w:r>
      <w:r w:rsidRPr="00EE7063">
        <w:rPr>
          <w:rFonts w:ascii="Palatino Linotype" w:hAnsi="Palatino Linotype" w:cs="Arial"/>
        </w:rPr>
        <w:t>Como fue referido en los antecedent</w:t>
      </w:r>
      <w:r w:rsidR="00D538F8" w:rsidRPr="00EE7063">
        <w:rPr>
          <w:rFonts w:ascii="Palatino Linotype" w:hAnsi="Palatino Linotype" w:cs="Arial"/>
        </w:rPr>
        <w:t xml:space="preserve">es de la presente resolución, </w:t>
      </w:r>
      <w:r w:rsidR="002045D9" w:rsidRPr="00EE7063">
        <w:rPr>
          <w:rFonts w:ascii="Palatino Linotype" w:hAnsi="Palatino Linotype" w:cs="Arial"/>
        </w:rPr>
        <w:t>e</w:t>
      </w:r>
      <w:r w:rsidR="00D538F8" w:rsidRPr="00EE7063">
        <w:rPr>
          <w:rFonts w:ascii="Palatino Linotype" w:hAnsi="Palatino Linotype" w:cs="Arial"/>
        </w:rPr>
        <w:t>l</w:t>
      </w:r>
      <w:r w:rsidRPr="00EE7063">
        <w:rPr>
          <w:rFonts w:ascii="Palatino Linotype" w:hAnsi="Palatino Linotype" w:cs="Arial"/>
        </w:rPr>
        <w:t xml:space="preserve"> solicitante le requirió al </w:t>
      </w:r>
      <w:r w:rsidR="008B78C6" w:rsidRPr="00EE7063">
        <w:rPr>
          <w:rFonts w:ascii="Palatino Linotype" w:hAnsi="Palatino Linotype" w:cs="Arial"/>
        </w:rPr>
        <w:t xml:space="preserve">Ayuntamiento de </w:t>
      </w:r>
      <w:r w:rsidR="007E406A" w:rsidRPr="00EE7063">
        <w:rPr>
          <w:rFonts w:ascii="Palatino Linotype" w:hAnsi="Palatino Linotype" w:cs="Arial"/>
        </w:rPr>
        <w:t xml:space="preserve">Cocotitlán, </w:t>
      </w:r>
      <w:r w:rsidR="00730024" w:rsidRPr="00EE7063">
        <w:rPr>
          <w:rFonts w:ascii="Palatino Linotype" w:hAnsi="Palatino Linotype" w:cs="Arial"/>
        </w:rPr>
        <w:t xml:space="preserve">lo </w:t>
      </w:r>
      <w:r w:rsidR="006B0DBD" w:rsidRPr="00EE7063">
        <w:rPr>
          <w:rFonts w:ascii="Palatino Linotype" w:hAnsi="Palatino Linotype" w:cs="Arial"/>
        </w:rPr>
        <w:t>siguiente:</w:t>
      </w:r>
    </w:p>
    <w:p w14:paraId="2FCE9FAA" w14:textId="459B7930" w:rsidR="00B456E6" w:rsidRPr="00EE7063" w:rsidRDefault="0004439C" w:rsidP="00B527D6">
      <w:pPr>
        <w:pStyle w:val="Prrafodelista"/>
        <w:numPr>
          <w:ilvl w:val="0"/>
          <w:numId w:val="2"/>
        </w:numPr>
        <w:spacing w:before="240" w:after="240" w:line="360" w:lineRule="auto"/>
        <w:jc w:val="both"/>
        <w:rPr>
          <w:rFonts w:ascii="Palatino Linotype" w:hAnsi="Palatino Linotype" w:cs="Arial"/>
        </w:rPr>
      </w:pPr>
      <w:r w:rsidRPr="00EE7063">
        <w:rPr>
          <w:rFonts w:ascii="Palatino Linotype" w:hAnsi="Palatino Linotype" w:cs="Arial"/>
        </w:rPr>
        <w:t>Escrito de interposición de la controversia constitucional, promovida el 7 de enero de 2018 ante la Suprema Corte de Justicia de la Nación en contra de la Ley de Seguridad Interior</w:t>
      </w:r>
    </w:p>
    <w:p w14:paraId="1E052D3A" w14:textId="0A260C3D" w:rsidR="008B1FB0" w:rsidRPr="00EE7063" w:rsidRDefault="008B1FB0" w:rsidP="008B1FB0">
      <w:pPr>
        <w:spacing w:before="240" w:after="240" w:line="360" w:lineRule="auto"/>
        <w:jc w:val="both"/>
        <w:rPr>
          <w:rFonts w:ascii="Palatino Linotype" w:hAnsi="Palatino Linotype" w:cs="Arial"/>
        </w:rPr>
      </w:pPr>
      <w:r w:rsidRPr="00EE7063">
        <w:rPr>
          <w:rFonts w:ascii="Palatino Linotype" w:hAnsi="Palatino Linotype" w:cs="Arial"/>
        </w:rPr>
        <w:t>Siendo omiso el Sujeto Obligado en emitir respuesta alguna a la solicitud</w:t>
      </w:r>
      <w:r w:rsidR="001E1AF2" w:rsidRPr="00EE7063">
        <w:rPr>
          <w:rFonts w:ascii="Palatino Linotype" w:hAnsi="Palatino Linotype" w:cs="Arial"/>
        </w:rPr>
        <w:t xml:space="preserve"> </w:t>
      </w:r>
      <w:r w:rsidRPr="00EE7063">
        <w:rPr>
          <w:rFonts w:ascii="Palatino Linotype" w:hAnsi="Palatino Linotype" w:cs="Arial"/>
        </w:rPr>
        <w:t xml:space="preserve">de información, por lo que se advierte que los motivos aducidos por el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EE7063">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EE7063">
        <w:rPr>
          <w:rFonts w:ascii="Palatino Linotype" w:hAnsi="Palatino Linotype" w:cs="Arial"/>
        </w:rPr>
        <w:t>.</w:t>
      </w:r>
    </w:p>
    <w:p w14:paraId="47A4CCC2" w14:textId="77777777" w:rsidR="008B1FB0" w:rsidRPr="00EE7063" w:rsidRDefault="008B1FB0" w:rsidP="008B1FB0">
      <w:pPr>
        <w:spacing w:before="240" w:after="240" w:line="360" w:lineRule="auto"/>
        <w:jc w:val="both"/>
        <w:rPr>
          <w:rFonts w:ascii="Palatino Linotype" w:hAnsi="Palatino Linotype" w:cs="Arial"/>
        </w:rPr>
      </w:pPr>
      <w:r w:rsidRPr="00EE7063">
        <w:rPr>
          <w:rFonts w:ascii="Palatino Linotype" w:hAnsi="Palatino Linotype"/>
        </w:rPr>
        <w:t>Así las cosas, conviene iniciar resaltando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184FFB48" w14:textId="77777777" w:rsidR="008B1FB0" w:rsidRPr="00EE7063" w:rsidRDefault="008B1FB0" w:rsidP="008B1FB0">
      <w:pPr>
        <w:pStyle w:val="NormalWeb"/>
        <w:ind w:left="360" w:right="1041"/>
        <w:jc w:val="both"/>
        <w:rPr>
          <w:rFonts w:ascii="Palatino Linotype" w:hAnsi="Palatino Linotype"/>
          <w:i/>
          <w:sz w:val="22"/>
          <w:szCs w:val="22"/>
        </w:rPr>
      </w:pPr>
      <w:r w:rsidRPr="00EE7063">
        <w:rPr>
          <w:rFonts w:ascii="Palatino Linotype" w:hAnsi="Palatino Linotype"/>
          <w:i/>
          <w:sz w:val="22"/>
          <w:szCs w:val="22"/>
        </w:rPr>
        <w:t>“</w:t>
      </w:r>
      <w:r w:rsidRPr="00EE7063">
        <w:rPr>
          <w:rFonts w:ascii="Palatino Linotype" w:hAnsi="Palatino Linotype"/>
          <w:b/>
          <w:i/>
          <w:sz w:val="22"/>
          <w:szCs w:val="22"/>
        </w:rPr>
        <w:t>Artículo 4</w:t>
      </w:r>
      <w:r w:rsidRPr="00EE7063">
        <w:rPr>
          <w:rFonts w:ascii="Palatino Linotype" w:hAnsi="Palatino Linotype"/>
          <w:i/>
          <w:sz w:val="22"/>
          <w:szCs w:val="22"/>
        </w:rPr>
        <w:t>. (…)</w:t>
      </w:r>
    </w:p>
    <w:p w14:paraId="4F67B39A" w14:textId="77777777" w:rsidR="008B1FB0" w:rsidRPr="00EE7063" w:rsidRDefault="008B1FB0" w:rsidP="008B1FB0">
      <w:pPr>
        <w:pStyle w:val="NormalWeb"/>
        <w:ind w:left="360" w:right="1041"/>
        <w:jc w:val="both"/>
        <w:rPr>
          <w:rFonts w:ascii="Palatino Linotype" w:hAnsi="Palatino Linotype"/>
          <w:i/>
          <w:color w:val="000000"/>
          <w:sz w:val="22"/>
          <w:szCs w:val="22"/>
        </w:rPr>
      </w:pPr>
      <w:r w:rsidRPr="00EE7063">
        <w:rPr>
          <w:rFonts w:ascii="Palatino Linotype" w:hAnsi="Palatino Linotype"/>
          <w:b/>
          <w:i/>
          <w:sz w:val="22"/>
          <w:szCs w:val="22"/>
        </w:rPr>
        <w:lastRenderedPageBreak/>
        <w:t>Toda la información generada, obtenida, adquirida, transformada, administrada o en posesión de los sujetos obligados es pública y accesible de manera permanente a cualquier persona</w:t>
      </w:r>
      <w:r w:rsidRPr="00EE7063">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61E87F" w14:textId="078B2700" w:rsidR="008B1FB0" w:rsidRPr="00EE7063" w:rsidRDefault="008B1FB0" w:rsidP="008B1FB0">
      <w:pPr>
        <w:pStyle w:val="paragraph"/>
        <w:spacing w:before="0" w:beforeAutospacing="0" w:after="240" w:afterAutospacing="0" w:line="360" w:lineRule="auto"/>
        <w:ind w:right="-150"/>
        <w:jc w:val="both"/>
        <w:textAlignment w:val="baseline"/>
        <w:rPr>
          <w:rFonts w:ascii="Palatino Linotype" w:hAnsi="Palatino Linotype" w:cs="Arial"/>
        </w:rPr>
      </w:pPr>
      <w:r w:rsidRPr="00EE7063">
        <w:rPr>
          <w:rFonts w:ascii="Palatino Linotype" w:hAnsi="Palatino Linotype" w:cs="Arial"/>
        </w:rPr>
        <w:t>De ahí que se destaque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EE7063">
        <w:rPr>
          <w:vertAlign w:val="superscript"/>
        </w:rPr>
        <w:footnoteReference w:id="1"/>
      </w:r>
      <w:r w:rsidRPr="00EE7063">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EE7063">
        <w:rPr>
          <w:vertAlign w:val="superscript"/>
        </w:rPr>
        <w:footnoteReference w:id="2"/>
      </w:r>
      <w:r w:rsidRPr="00EE7063">
        <w:rPr>
          <w:rFonts w:ascii="Palatino Linotype" w:hAnsi="Palatino Linotype" w:cs="Arial"/>
        </w:rPr>
        <w:t>, así como de interés público, es decir, aquella que resulta relevante o beneficiosa para la sociedad y no simplemente de interés individual y cuya divulgación resulta útil para que el público</w:t>
      </w:r>
      <w:r w:rsidRPr="00EE7063">
        <w:rPr>
          <w:vertAlign w:val="superscript"/>
        </w:rPr>
        <w:footnoteReference w:id="3"/>
      </w:r>
      <w:r w:rsidRPr="00EE7063">
        <w:rPr>
          <w:rFonts w:ascii="Palatino Linotype" w:hAnsi="Palatino Linotype" w:cs="Arial"/>
          <w:vertAlign w:val="superscript"/>
        </w:rPr>
        <w:t>:</w:t>
      </w:r>
      <w:r w:rsidRPr="00EE7063">
        <w:rPr>
          <w:rFonts w:ascii="Palatino Linotype" w:hAnsi="Palatino Linotype" w:cs="Arial"/>
        </w:rPr>
        <w:t xml:space="preserve"> como pudiera tratarse de aquella relacionada con</w:t>
      </w:r>
      <w:r w:rsidR="001E1AF2" w:rsidRPr="00EE7063">
        <w:rPr>
          <w:rFonts w:ascii="Palatino Linotype" w:hAnsi="Palatino Linotype" w:cs="Arial"/>
        </w:rPr>
        <w:t xml:space="preserve"> la interposición de controversias constitucionales de parte de los Ayuntamientos</w:t>
      </w:r>
      <w:r w:rsidRPr="00EE7063">
        <w:rPr>
          <w:rFonts w:ascii="Palatino Linotype" w:hAnsi="Palatino Linotype" w:cs="Arial"/>
        </w:rPr>
        <w:t>.</w:t>
      </w:r>
    </w:p>
    <w:p w14:paraId="4C8A1D41" w14:textId="77777777" w:rsidR="00AB2D37" w:rsidRPr="00EE7063" w:rsidRDefault="00955483" w:rsidP="00AB2D37">
      <w:pPr>
        <w:spacing w:before="100" w:beforeAutospacing="1" w:after="100" w:afterAutospacing="1" w:line="360" w:lineRule="auto"/>
        <w:jc w:val="both"/>
        <w:rPr>
          <w:rFonts w:ascii="Palatino Linotype" w:hAnsi="Palatino Linotype" w:cs="Segoe UI"/>
        </w:rPr>
      </w:pPr>
      <w:r w:rsidRPr="00EE7063">
        <w:rPr>
          <w:rFonts w:ascii="Palatino Linotype" w:hAnsi="Palatino Linotype" w:cs="Arial"/>
        </w:rPr>
        <w:lastRenderedPageBreak/>
        <w:t>Ahora bien</w:t>
      </w:r>
      <w:r w:rsidR="00464C4A" w:rsidRPr="00EE7063">
        <w:rPr>
          <w:rFonts w:ascii="Palatino Linotype" w:hAnsi="Palatino Linotype" w:cs="Arial"/>
        </w:rPr>
        <w:t>,</w:t>
      </w:r>
      <w:r w:rsidRPr="00EE7063">
        <w:rPr>
          <w:rFonts w:ascii="Palatino Linotype" w:hAnsi="Palatino Linotype" w:cs="Arial"/>
        </w:rPr>
        <w:t xml:space="preserve"> en primer lugar</w:t>
      </w:r>
      <w:r w:rsidR="00464C4A" w:rsidRPr="00EE7063">
        <w:rPr>
          <w:rFonts w:ascii="Palatino Linotype" w:hAnsi="Palatino Linotype" w:cs="Arial"/>
        </w:rPr>
        <w:t xml:space="preserve"> resulta indispensable </w:t>
      </w:r>
      <w:r w:rsidR="00AB2D37" w:rsidRPr="00EE7063">
        <w:rPr>
          <w:rFonts w:ascii="Palatino Linotype" w:hAnsi="Palatino Linotype" w:cs="Arial"/>
        </w:rPr>
        <w:t xml:space="preserve">analizar la naturaleza de la información requerida, ya que una </w:t>
      </w:r>
      <w:r w:rsidR="00AB2D37" w:rsidRPr="00EE7063">
        <w:rPr>
          <w:rFonts w:ascii="Palatino Linotype" w:hAnsi="Palatino Linotype" w:cs="Segoe UI"/>
        </w:rPr>
        <w:t>controversia constitucional es el proceso mediante el cual, resuelven los conflictos que surjan entre dos de los Poderes Federales –Legislativo y Ejecutivo–, los Poderes de los Estados –Legislativo, Ejecutivo y Judicial–, los Órganos de Gobierno del Distrito Federal (ahora Ciudad de México) –Legislativo, Ejecutivo y Judicial–, o bien, entre los órdenes de gobierno –federal, estatal, municipal o del Distrito Federal (Ciudad de México)–, por invasión de competencias o bien, por cualquier tipo de violación a la Constitución Federal, por parte de los órganos señalados, corresponde exclusivamente a la SCJN resolver estos procesos</w:t>
      </w:r>
      <w:r w:rsidR="00AB2D37" w:rsidRPr="00EE7063">
        <w:rPr>
          <w:rStyle w:val="Refdenotaalpie"/>
          <w:rFonts w:ascii="Palatino Linotype" w:hAnsi="Palatino Linotype" w:cs="Segoe UI"/>
        </w:rPr>
        <w:footnoteReference w:id="4"/>
      </w:r>
      <w:r w:rsidR="00AB2D37" w:rsidRPr="00EE7063">
        <w:rPr>
          <w:rFonts w:ascii="Palatino Linotype" w:hAnsi="Palatino Linotype" w:cs="Segoe UI"/>
        </w:rPr>
        <w:t>, una vez definido lo anterior, se entiende que dicha figura como Medio de Control Constitucional, tiene como finalidad proteger la esfera competencial, en este caso del municipio.</w:t>
      </w:r>
    </w:p>
    <w:p w14:paraId="699137C1" w14:textId="77777777" w:rsidR="00AB2D37" w:rsidRPr="00EE7063" w:rsidRDefault="00AB2D37" w:rsidP="00AB2D37">
      <w:pPr>
        <w:spacing w:before="100" w:beforeAutospacing="1" w:after="100" w:afterAutospacing="1" w:line="360" w:lineRule="auto"/>
        <w:jc w:val="both"/>
        <w:rPr>
          <w:rFonts w:ascii="Palatino Linotype" w:hAnsi="Palatino Linotype" w:cs="Segoe UI"/>
        </w:rPr>
      </w:pPr>
      <w:r w:rsidRPr="00EE7063">
        <w:rPr>
          <w:rFonts w:ascii="Palatino Linotype" w:hAnsi="Palatino Linotype" w:cs="Segoe UI"/>
        </w:rPr>
        <w:t>Con relación a lo anterior, se tiene que una Controversia Constitucional será conocida por el Alto Tribunal del país, es decir, por la Suprema Corte de Justicia de la Nación, suscitadas entre los actores que ya se han referido con anterioridad, lo dicho encuentra sustento en la fracción I del artículo 105 de la Constitución Política de los Estados Unidos Mexicanos, que a la letra dice:</w:t>
      </w:r>
    </w:p>
    <w:p w14:paraId="0314CB99"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“Artículo 105. La Suprema Corte de Justicia de la Nación conocerá, en los términos que señale la ley reglamentaria, de los asuntos siguientes: </w:t>
      </w:r>
    </w:p>
    <w:p w14:paraId="4FD34FF3"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I. De las controversias constitucionales que, con excepción de las que se refieran a la materia electoral, se susciten entre</w:t>
      </w:r>
    </w:p>
    <w:p w14:paraId="78AEECED"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a) La Federación y una entidad federativa; Inciso reformado </w:t>
      </w:r>
    </w:p>
    <w:p w14:paraId="69C43429"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lastRenderedPageBreak/>
        <w:t xml:space="preserve">b) La Federación y un municipio; </w:t>
      </w:r>
    </w:p>
    <w:p w14:paraId="2711F0AC"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c) El Poder Ejecutivo y el Congreso de la Unión; aquél y cualquiera de las Cámaras de éste o, en su caso, la Comisión Permanente; </w:t>
      </w:r>
    </w:p>
    <w:p w14:paraId="764ABFE9"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d) Una entidad federativa y otra; Inciso reformado </w:t>
      </w:r>
    </w:p>
    <w:p w14:paraId="2CB14E26"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e) Se deroga</w:t>
      </w:r>
    </w:p>
    <w:p w14:paraId="290FCF10"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f) Se deroga. </w:t>
      </w:r>
    </w:p>
    <w:p w14:paraId="5E8768AF"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g) Dos municipios de diversos Estados; </w:t>
      </w:r>
    </w:p>
    <w:p w14:paraId="0BC7F38B"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h) Dos Poderes de una misma entidad federativa, sobre la constitucionalidad de sus actos o disposiciones generales; </w:t>
      </w:r>
    </w:p>
    <w:p w14:paraId="10D6D98A"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i) Un Estado y uno de sus municipios, sobre la constitucionalidad de sus actos o disposiciones generales; </w:t>
      </w:r>
    </w:p>
    <w:p w14:paraId="1D6445E5"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j) Una entidad federativa y un Municipio de otra o una demarcación territorial de la Ciudad de México, sobre la constitucionalidad de sus actos o disposiciones generales, y </w:t>
      </w:r>
    </w:p>
    <w:p w14:paraId="2ADA35F6"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k) Se deroga. </w:t>
      </w:r>
    </w:p>
    <w:p w14:paraId="1054FB0F"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l) Dos órganos constitucionales autónomos, y entre uno de éstos y el Poder Ejecutivo de la Unión o el Congreso de la Unión sobre la constitucionalidad de sus actos o disposiciones generales. Lo dispuesto en el presente inciso será aplicable al organismo garante que establece el artículo 6o. de esta Constitución. </w:t>
      </w:r>
    </w:p>
    <w:p w14:paraId="27301603"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 xml:space="preserve">Siempre que las controversias versen sobre disposiciones generales de las entidades 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y h) anteriores, y la resolución de la Suprema Corte de Justicia de la Nación las declare inválidas, dicha resolución tendrá efectos generales cuando hubiere sido aprobada por una mayoría de por lo menos ocho votos. </w:t>
      </w:r>
    </w:p>
    <w:p w14:paraId="7AC94754" w14:textId="77777777" w:rsidR="00AB2D37" w:rsidRPr="00EE7063" w:rsidRDefault="00AB2D37" w:rsidP="00AB2D37">
      <w:pPr>
        <w:spacing w:before="100" w:beforeAutospacing="1" w:after="100" w:afterAutospacing="1"/>
        <w:ind w:left="851" w:right="851"/>
        <w:jc w:val="both"/>
        <w:rPr>
          <w:rFonts w:ascii="Palatino Linotype" w:hAnsi="Palatino Linotype" w:cs="Segoe UI"/>
          <w:i/>
          <w:sz w:val="22"/>
        </w:rPr>
      </w:pPr>
      <w:r w:rsidRPr="00EE7063">
        <w:rPr>
          <w:rFonts w:ascii="Palatino Linotype" w:hAnsi="Palatino Linotype" w:cs="Segoe UI"/>
          <w:i/>
          <w:sz w:val="22"/>
        </w:rPr>
        <w:t>En los demás casos, las resoluciones de la Suprema Corte de Justicia tendrán efectos únicamente respecto de las partes en la controversia. (…)”</w:t>
      </w:r>
    </w:p>
    <w:p w14:paraId="16C26458" w14:textId="77777777" w:rsidR="00AB2D37" w:rsidRPr="00EE7063" w:rsidRDefault="00AB2D37" w:rsidP="00AB2D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lastRenderedPageBreak/>
        <w:t>Establecido lo anterior, del precepto jurídico señalado, se desprende que en caso de invasión de competencias se puede promover dicho Medio de Control Constitucional por las partes legitimadas en este caso por el Municipio y en quien recae la representación jurídica del mismo, el cual es el Presidente Municipal, lo mencionado se encuentra establecido en la fracción IV del artículo 48 de la Ley Orgánica Municipal del Estado de México que a la letra dice:</w:t>
      </w:r>
    </w:p>
    <w:p w14:paraId="3A903D24" w14:textId="77777777" w:rsidR="00AB2D37" w:rsidRPr="00EE7063" w:rsidRDefault="00AB2D37" w:rsidP="00AB2D37">
      <w:pPr>
        <w:spacing w:before="100" w:beforeAutospacing="1" w:after="100" w:afterAutospacing="1"/>
        <w:ind w:left="851" w:right="851"/>
        <w:jc w:val="both"/>
        <w:rPr>
          <w:rFonts w:ascii="Palatino Linotype" w:eastAsiaTheme="minorHAnsi" w:hAnsi="Palatino Linotype" w:cs="Arial"/>
          <w:i/>
          <w:sz w:val="22"/>
          <w:szCs w:val="22"/>
          <w:lang w:eastAsia="en-US"/>
        </w:rPr>
      </w:pPr>
      <w:r w:rsidRPr="00EE7063">
        <w:rPr>
          <w:rFonts w:ascii="Palatino Linotype" w:eastAsiaTheme="minorHAnsi" w:hAnsi="Palatino Linotype" w:cs="Arial"/>
          <w:i/>
          <w:sz w:val="22"/>
          <w:szCs w:val="22"/>
          <w:lang w:eastAsia="en-US"/>
        </w:rPr>
        <w:t xml:space="preserve">“Artículo 48.- El presidente municipal tiene las siguientes atribuciones: </w:t>
      </w:r>
    </w:p>
    <w:p w14:paraId="4A865842" w14:textId="77777777" w:rsidR="00AB2D37" w:rsidRPr="00EE7063" w:rsidRDefault="00AB2D37" w:rsidP="00AB2D37">
      <w:pPr>
        <w:spacing w:before="100" w:beforeAutospacing="1" w:after="100" w:afterAutospacing="1"/>
        <w:ind w:left="851" w:right="851"/>
        <w:jc w:val="both"/>
        <w:rPr>
          <w:rFonts w:ascii="Palatino Linotype" w:eastAsiaTheme="minorHAnsi" w:hAnsi="Palatino Linotype" w:cs="Arial"/>
          <w:i/>
          <w:sz w:val="22"/>
          <w:szCs w:val="22"/>
          <w:lang w:eastAsia="en-US"/>
        </w:rPr>
      </w:pPr>
      <w:r w:rsidRPr="00EE7063">
        <w:rPr>
          <w:rFonts w:ascii="Palatino Linotype" w:eastAsiaTheme="minorHAnsi" w:hAnsi="Palatino Linotype" w:cs="Arial"/>
          <w:i/>
          <w:sz w:val="22"/>
          <w:szCs w:val="22"/>
          <w:lang w:eastAsia="en-US"/>
        </w:rPr>
        <w:t>(…)</w:t>
      </w:r>
    </w:p>
    <w:p w14:paraId="1EF4AF13" w14:textId="77777777" w:rsidR="00AB2D37" w:rsidRPr="00EE7063" w:rsidRDefault="00AB2D37" w:rsidP="00AB2D37">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EE7063">
        <w:rPr>
          <w:rFonts w:ascii="Palatino Linotype" w:eastAsiaTheme="minorHAnsi" w:hAnsi="Palatino Linotype" w:cs="Arial"/>
          <w:i/>
          <w:sz w:val="22"/>
          <w:szCs w:val="22"/>
          <w:lang w:eastAsia="en-US"/>
        </w:rPr>
        <w:t>IV.- Asumir la representación jurídica del Municipio y del ayuntamiento, así como de las dependencias de la Administración Pública Municipal, en los litigios en que este sea parte. (…)”</w:t>
      </w:r>
    </w:p>
    <w:p w14:paraId="27895AA5" w14:textId="036D2225" w:rsidR="00A21835" w:rsidRPr="00EE7063" w:rsidRDefault="005D245E" w:rsidP="00AB2D37">
      <w:pPr>
        <w:spacing w:before="240" w:after="240" w:line="360" w:lineRule="auto"/>
        <w:jc w:val="both"/>
        <w:rPr>
          <w:rFonts w:ascii="Palatino Linotype" w:hAnsi="Palatino Linotype" w:cs="Arial"/>
        </w:rPr>
      </w:pPr>
      <w:r w:rsidRPr="00EE7063">
        <w:rPr>
          <w:rFonts w:ascii="Palatino Linotype" w:hAnsi="Palatino Linotype" w:cs="Arial"/>
        </w:rPr>
        <w:t>Derivado de lo anterior, este Órgano Garante se dio a la tarea de consultar y realizar una búsqueda en los Acuerdos de admisión de la Suprema Corte de la Justicia de la Nación, específicamente en su sitio web, en el “Índice de Controversias Constitucionales”,</w:t>
      </w:r>
      <w:r w:rsidR="00FC11D9" w:rsidRPr="00EE7063">
        <w:rPr>
          <w:rFonts w:ascii="Palatino Linotype" w:hAnsi="Palatino Linotype" w:cs="Arial"/>
        </w:rPr>
        <w:t xml:space="preserve"> para determinar la existencia del documento materia de la solicitud de información, </w:t>
      </w:r>
      <w:r w:rsidRPr="00EE7063">
        <w:rPr>
          <w:rFonts w:ascii="Palatino Linotype" w:hAnsi="Palatino Linotype" w:cs="Arial"/>
        </w:rPr>
        <w:t xml:space="preserve"> hallando lo siguiente:</w:t>
      </w:r>
    </w:p>
    <w:p w14:paraId="7518543D" w14:textId="41649362" w:rsidR="00FC11D9" w:rsidRPr="00EE7063" w:rsidRDefault="00FC11D9" w:rsidP="00AB2D37">
      <w:pPr>
        <w:spacing w:before="240" w:after="240" w:line="360" w:lineRule="auto"/>
        <w:jc w:val="both"/>
        <w:rPr>
          <w:rFonts w:ascii="Palatino Linotype" w:hAnsi="Palatino Linotype" w:cs="Arial"/>
        </w:rPr>
      </w:pPr>
      <w:r w:rsidRPr="00EE7063">
        <w:rPr>
          <w:rFonts w:ascii="Palatino Linotype"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7E1D40" w14:textId="122A3D41" w:rsidR="00AB2D37" w:rsidRPr="00EE7063" w:rsidRDefault="008E716B" w:rsidP="00AB2D37">
      <w:pPr>
        <w:spacing w:before="240" w:after="240" w:line="360" w:lineRule="auto"/>
        <w:jc w:val="both"/>
        <w:rPr>
          <w:rFonts w:ascii="Palatino Linotype" w:hAnsi="Palatino Linotype" w:cs="Arial"/>
        </w:rPr>
      </w:pPr>
      <w:r w:rsidRPr="00EE7063">
        <w:rPr>
          <w:rFonts w:ascii="Palatino Linotype" w:hAnsi="Palatino Linotype" w:cs="Arial"/>
          <w:noProof/>
          <w:lang w:val="es-MX" w:eastAsia="es-MX"/>
        </w:rPr>
        <w:drawing>
          <wp:anchor distT="0" distB="0" distL="114300" distR="114300" simplePos="0" relativeHeight="251659264" behindDoc="1" locked="0" layoutInCell="1" allowOverlap="1" wp14:anchorId="5158899A" wp14:editId="1E9D04F4">
            <wp:simplePos x="0" y="0"/>
            <wp:positionH relativeFrom="column">
              <wp:posOffset>-225112</wp:posOffset>
            </wp:positionH>
            <wp:positionV relativeFrom="paragraph">
              <wp:posOffset>-159872</wp:posOffset>
            </wp:positionV>
            <wp:extent cx="6032665" cy="4810070"/>
            <wp:effectExtent l="0" t="0" r="635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534-2018.png"/>
                    <pic:cNvPicPr/>
                  </pic:nvPicPr>
                  <pic:blipFill>
                    <a:blip r:embed="rId8">
                      <a:extLst>
                        <a:ext uri="{28A0092B-C50C-407E-A947-70E740481C1C}">
                          <a14:useLocalDpi xmlns:a14="http://schemas.microsoft.com/office/drawing/2010/main" val="0"/>
                        </a:ext>
                      </a:extLst>
                    </a:blip>
                    <a:stretch>
                      <a:fillRect/>
                    </a:stretch>
                  </pic:blipFill>
                  <pic:spPr>
                    <a:xfrm>
                      <a:off x="0" y="0"/>
                      <a:ext cx="6044255" cy="4819311"/>
                    </a:xfrm>
                    <a:prstGeom prst="rect">
                      <a:avLst/>
                    </a:prstGeom>
                  </pic:spPr>
                </pic:pic>
              </a:graphicData>
            </a:graphic>
            <wp14:sizeRelH relativeFrom="margin">
              <wp14:pctWidth>0</wp14:pctWidth>
            </wp14:sizeRelH>
            <wp14:sizeRelV relativeFrom="margin">
              <wp14:pctHeight>0</wp14:pctHeight>
            </wp14:sizeRelV>
          </wp:anchor>
        </w:drawing>
      </w:r>
    </w:p>
    <w:p w14:paraId="5B673E5C" w14:textId="0B5877C5" w:rsidR="00A21835" w:rsidRPr="00EE7063" w:rsidRDefault="00A21835">
      <w:pPr>
        <w:rPr>
          <w:rFonts w:ascii="Palatino Linotype" w:hAnsi="Palatino Linotype" w:cs="Arial"/>
        </w:rPr>
      </w:pPr>
    </w:p>
    <w:p w14:paraId="22D04822" w14:textId="779BA7B7" w:rsidR="00A21835" w:rsidRPr="00EE7063" w:rsidRDefault="00A21835">
      <w:pPr>
        <w:rPr>
          <w:rFonts w:ascii="Palatino Linotype" w:hAnsi="Palatino Linotype" w:cs="Arial"/>
        </w:rPr>
      </w:pPr>
    </w:p>
    <w:p w14:paraId="2B6C0BBB" w14:textId="77777777" w:rsidR="00A21835" w:rsidRPr="00EE7063" w:rsidRDefault="00A21835">
      <w:pPr>
        <w:rPr>
          <w:rFonts w:ascii="Palatino Linotype" w:hAnsi="Palatino Linotype" w:cs="Arial"/>
        </w:rPr>
      </w:pPr>
    </w:p>
    <w:p w14:paraId="6B0AD46E" w14:textId="77777777" w:rsidR="00A21835" w:rsidRPr="00EE7063" w:rsidRDefault="00A21835">
      <w:pPr>
        <w:rPr>
          <w:rFonts w:ascii="Palatino Linotype" w:hAnsi="Palatino Linotype" w:cs="Arial"/>
        </w:rPr>
      </w:pPr>
    </w:p>
    <w:p w14:paraId="19847573" w14:textId="77777777" w:rsidR="00A21835" w:rsidRPr="00EE7063" w:rsidRDefault="00A21835">
      <w:pPr>
        <w:rPr>
          <w:rFonts w:ascii="Palatino Linotype" w:hAnsi="Palatino Linotype" w:cs="Arial"/>
        </w:rPr>
      </w:pPr>
    </w:p>
    <w:p w14:paraId="099A8F6D" w14:textId="77777777" w:rsidR="00A21835" w:rsidRPr="00EE7063" w:rsidRDefault="00A21835">
      <w:pPr>
        <w:rPr>
          <w:rFonts w:ascii="Palatino Linotype" w:hAnsi="Palatino Linotype" w:cs="Arial"/>
        </w:rPr>
      </w:pPr>
    </w:p>
    <w:p w14:paraId="097D097D" w14:textId="77777777" w:rsidR="00A21835" w:rsidRPr="00EE7063" w:rsidRDefault="00A21835">
      <w:pPr>
        <w:rPr>
          <w:rFonts w:ascii="Palatino Linotype" w:hAnsi="Palatino Linotype" w:cs="Arial"/>
        </w:rPr>
      </w:pPr>
    </w:p>
    <w:p w14:paraId="1CE1BF6D" w14:textId="77777777" w:rsidR="00A21835" w:rsidRPr="00EE7063" w:rsidRDefault="00A21835">
      <w:pPr>
        <w:rPr>
          <w:rFonts w:ascii="Palatino Linotype" w:hAnsi="Palatino Linotype" w:cs="Arial"/>
        </w:rPr>
      </w:pPr>
    </w:p>
    <w:p w14:paraId="1B798939" w14:textId="77777777" w:rsidR="00A21835" w:rsidRPr="00EE7063" w:rsidRDefault="00A21835">
      <w:pPr>
        <w:rPr>
          <w:rFonts w:ascii="Palatino Linotype" w:hAnsi="Palatino Linotype" w:cs="Arial"/>
        </w:rPr>
      </w:pPr>
    </w:p>
    <w:p w14:paraId="20921445" w14:textId="77777777" w:rsidR="00A21835" w:rsidRPr="00EE7063" w:rsidRDefault="00A21835">
      <w:pPr>
        <w:rPr>
          <w:rFonts w:ascii="Palatino Linotype" w:hAnsi="Palatino Linotype" w:cs="Arial"/>
        </w:rPr>
      </w:pPr>
    </w:p>
    <w:p w14:paraId="1F205643" w14:textId="77777777" w:rsidR="00A21835" w:rsidRPr="00EE7063" w:rsidRDefault="00A21835">
      <w:pPr>
        <w:rPr>
          <w:rFonts w:ascii="Palatino Linotype" w:hAnsi="Palatino Linotype" w:cs="Arial"/>
        </w:rPr>
      </w:pPr>
    </w:p>
    <w:p w14:paraId="369A0ED9" w14:textId="77777777" w:rsidR="00A21835" w:rsidRPr="00EE7063" w:rsidRDefault="00A21835">
      <w:pPr>
        <w:rPr>
          <w:rFonts w:ascii="Palatino Linotype" w:hAnsi="Palatino Linotype" w:cs="Arial"/>
        </w:rPr>
      </w:pPr>
    </w:p>
    <w:p w14:paraId="4F3871C0" w14:textId="77777777" w:rsidR="00A21835" w:rsidRPr="00EE7063" w:rsidRDefault="00A21835">
      <w:pPr>
        <w:rPr>
          <w:rFonts w:ascii="Palatino Linotype" w:hAnsi="Palatino Linotype" w:cs="Arial"/>
        </w:rPr>
      </w:pPr>
    </w:p>
    <w:p w14:paraId="4370A133" w14:textId="77777777" w:rsidR="00A21835" w:rsidRPr="00EE7063" w:rsidRDefault="00A21835">
      <w:pPr>
        <w:rPr>
          <w:rFonts w:ascii="Palatino Linotype" w:hAnsi="Palatino Linotype" w:cs="Arial"/>
        </w:rPr>
      </w:pPr>
    </w:p>
    <w:p w14:paraId="52E5022F" w14:textId="77777777" w:rsidR="00A21835" w:rsidRPr="00EE7063" w:rsidRDefault="00A21835">
      <w:pPr>
        <w:rPr>
          <w:rFonts w:ascii="Palatino Linotype" w:hAnsi="Palatino Linotype" w:cs="Arial"/>
        </w:rPr>
      </w:pPr>
    </w:p>
    <w:p w14:paraId="3691AB0D" w14:textId="77777777" w:rsidR="00A21835" w:rsidRPr="00EE7063" w:rsidRDefault="00A21835">
      <w:pPr>
        <w:rPr>
          <w:rFonts w:ascii="Palatino Linotype" w:hAnsi="Palatino Linotype" w:cs="Arial"/>
        </w:rPr>
      </w:pPr>
    </w:p>
    <w:p w14:paraId="0D5BF3BB" w14:textId="77777777" w:rsidR="00A21835" w:rsidRPr="00EE7063" w:rsidRDefault="00A21835">
      <w:pPr>
        <w:rPr>
          <w:rFonts w:ascii="Palatino Linotype" w:hAnsi="Palatino Linotype" w:cs="Arial"/>
        </w:rPr>
      </w:pPr>
    </w:p>
    <w:p w14:paraId="1BA216E4" w14:textId="77777777" w:rsidR="00A21835" w:rsidRPr="00EE7063" w:rsidRDefault="00A21835">
      <w:pPr>
        <w:rPr>
          <w:rFonts w:ascii="Palatino Linotype" w:hAnsi="Palatino Linotype" w:cs="Arial"/>
        </w:rPr>
      </w:pPr>
    </w:p>
    <w:p w14:paraId="3454E705" w14:textId="77777777" w:rsidR="00A21835" w:rsidRPr="00EE7063" w:rsidRDefault="00A21835">
      <w:pPr>
        <w:rPr>
          <w:rFonts w:ascii="Palatino Linotype" w:hAnsi="Palatino Linotype" w:cs="Arial"/>
        </w:rPr>
      </w:pPr>
    </w:p>
    <w:p w14:paraId="28FEA099" w14:textId="481A245E" w:rsidR="008E716B" w:rsidRPr="00EE7063" w:rsidRDefault="008E716B" w:rsidP="009A65F3">
      <w:pPr>
        <w:spacing w:before="240" w:after="240" w:line="360" w:lineRule="auto"/>
        <w:jc w:val="both"/>
        <w:rPr>
          <w:rFonts w:ascii="Palatino Linotype" w:hAnsi="Palatino Linotype" w:cs="Arial"/>
        </w:rPr>
      </w:pPr>
      <w:r w:rsidRPr="00EE7063">
        <w:rPr>
          <w:rFonts w:ascii="Palatino Linotype" w:hAnsi="Palatino Linotype" w:cs="Arial"/>
          <w:noProof/>
          <w:lang w:val="es-MX" w:eastAsia="es-MX"/>
        </w:rPr>
        <w:drawing>
          <wp:anchor distT="0" distB="0" distL="114300" distR="114300" simplePos="0" relativeHeight="251658240" behindDoc="1" locked="0" layoutInCell="1" allowOverlap="1" wp14:anchorId="478AD317" wp14:editId="2DA32F60">
            <wp:simplePos x="0" y="0"/>
            <wp:positionH relativeFrom="margin">
              <wp:posOffset>-260738</wp:posOffset>
            </wp:positionH>
            <wp:positionV relativeFrom="paragraph">
              <wp:posOffset>342118</wp:posOffset>
            </wp:positionV>
            <wp:extent cx="6124575" cy="2991006"/>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534-18 1.png"/>
                    <pic:cNvPicPr/>
                  </pic:nvPicPr>
                  <pic:blipFill rotWithShape="1">
                    <a:blip r:embed="rId9">
                      <a:extLst>
                        <a:ext uri="{28A0092B-C50C-407E-A947-70E740481C1C}">
                          <a14:useLocalDpi xmlns:a14="http://schemas.microsoft.com/office/drawing/2010/main" val="0"/>
                        </a:ext>
                      </a:extLst>
                    </a:blip>
                    <a:srcRect t="15630"/>
                    <a:stretch/>
                  </pic:blipFill>
                  <pic:spPr bwMode="auto">
                    <a:xfrm>
                      <a:off x="0" y="0"/>
                      <a:ext cx="6136425" cy="2996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63D54A" w14:textId="29B96310" w:rsidR="008E716B" w:rsidRPr="00EE7063" w:rsidRDefault="008E716B" w:rsidP="009A65F3">
      <w:pPr>
        <w:spacing w:before="240" w:after="240" w:line="360" w:lineRule="auto"/>
        <w:jc w:val="both"/>
        <w:rPr>
          <w:rFonts w:ascii="Palatino Linotype" w:hAnsi="Palatino Linotype" w:cs="Arial"/>
        </w:rPr>
      </w:pPr>
    </w:p>
    <w:p w14:paraId="4FFA4B34" w14:textId="77777777" w:rsidR="008E716B" w:rsidRPr="00EE7063" w:rsidRDefault="008E716B" w:rsidP="009A65F3">
      <w:pPr>
        <w:spacing w:before="240" w:after="240" w:line="360" w:lineRule="auto"/>
        <w:jc w:val="both"/>
        <w:rPr>
          <w:rFonts w:ascii="Palatino Linotype" w:hAnsi="Palatino Linotype" w:cs="Arial"/>
        </w:rPr>
      </w:pPr>
    </w:p>
    <w:p w14:paraId="5023E321" w14:textId="77777777" w:rsidR="008E716B" w:rsidRPr="00EE7063" w:rsidRDefault="008E716B" w:rsidP="009A65F3">
      <w:pPr>
        <w:spacing w:before="240" w:after="240" w:line="360" w:lineRule="auto"/>
        <w:jc w:val="both"/>
        <w:rPr>
          <w:rFonts w:ascii="Palatino Linotype" w:hAnsi="Palatino Linotype" w:cs="Arial"/>
        </w:rPr>
      </w:pPr>
    </w:p>
    <w:p w14:paraId="0BCD4FA5" w14:textId="77777777" w:rsidR="008E716B" w:rsidRPr="00EE7063" w:rsidRDefault="008E716B" w:rsidP="009A65F3">
      <w:pPr>
        <w:spacing w:before="240" w:after="240" w:line="360" w:lineRule="auto"/>
        <w:jc w:val="both"/>
        <w:rPr>
          <w:rFonts w:ascii="Palatino Linotype" w:hAnsi="Palatino Linotype" w:cs="Arial"/>
        </w:rPr>
      </w:pPr>
    </w:p>
    <w:p w14:paraId="5E751A92" w14:textId="77777777" w:rsidR="008E716B" w:rsidRPr="00EE7063" w:rsidRDefault="008E716B" w:rsidP="009A65F3">
      <w:pPr>
        <w:spacing w:before="240" w:after="240" w:line="360" w:lineRule="auto"/>
        <w:jc w:val="both"/>
        <w:rPr>
          <w:rFonts w:ascii="Palatino Linotype" w:hAnsi="Palatino Linotype" w:cs="Arial"/>
        </w:rPr>
      </w:pPr>
    </w:p>
    <w:p w14:paraId="4D8944A1" w14:textId="77777777" w:rsidR="008E716B" w:rsidRPr="00EE7063" w:rsidRDefault="008E716B" w:rsidP="009A65F3">
      <w:pPr>
        <w:spacing w:before="240" w:after="240" w:line="360" w:lineRule="auto"/>
        <w:jc w:val="both"/>
        <w:rPr>
          <w:rFonts w:ascii="Palatino Linotype" w:hAnsi="Palatino Linotype" w:cs="Arial"/>
        </w:rPr>
      </w:pPr>
    </w:p>
    <w:p w14:paraId="01A15FDD" w14:textId="10E58E76" w:rsidR="00F6589F" w:rsidRPr="00EE7063" w:rsidRDefault="00F6589F" w:rsidP="009A65F3">
      <w:pPr>
        <w:spacing w:before="240" w:after="240" w:line="360" w:lineRule="auto"/>
        <w:jc w:val="both"/>
        <w:rPr>
          <w:rFonts w:ascii="Palatino Linotype" w:hAnsi="Palatino Linotype" w:cs="Arial"/>
        </w:rPr>
      </w:pPr>
      <w:r w:rsidRPr="00EE7063">
        <w:rPr>
          <w:rFonts w:ascii="Palatino Linotype" w:hAnsi="Palatino Linotype" w:cs="Arial"/>
          <w:noProof/>
          <w:lang w:val="es-MX" w:eastAsia="es-MX"/>
        </w:rPr>
        <w:lastRenderedPageBreak/>
        <w:drawing>
          <wp:inline distT="0" distB="0" distL="0" distR="0" wp14:anchorId="5196F17C" wp14:editId="4A26B14C">
            <wp:extent cx="5612130" cy="5705475"/>
            <wp:effectExtent l="0" t="0" r="762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534-182.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5705475"/>
                    </a:xfrm>
                    <a:prstGeom prst="rect">
                      <a:avLst/>
                    </a:prstGeom>
                  </pic:spPr>
                </pic:pic>
              </a:graphicData>
            </a:graphic>
          </wp:inline>
        </w:drawing>
      </w:r>
    </w:p>
    <w:p w14:paraId="65F1712D" w14:textId="18917038"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 xml:space="preserve">De las imágenes insertas con anterioridad se desprende el hecho de que, la controversia constitucional de la cual se hace referencia en la solicitud de información, en efecto fue promovida por el Presidente Municipal de </w:t>
      </w:r>
      <w:r w:rsidR="001D05B8" w:rsidRPr="00EE7063">
        <w:rPr>
          <w:rFonts w:ascii="Palatino Linotype" w:eastAsiaTheme="minorHAnsi" w:hAnsi="Palatino Linotype" w:cs="Arial"/>
          <w:szCs w:val="22"/>
          <w:lang w:val="es-MX" w:eastAsia="en-US"/>
        </w:rPr>
        <w:t>Cocotitlán</w:t>
      </w:r>
      <w:r w:rsidRPr="00EE7063">
        <w:rPr>
          <w:rFonts w:ascii="Palatino Linotype" w:eastAsiaTheme="minorHAnsi" w:hAnsi="Palatino Linotype" w:cs="Arial"/>
          <w:szCs w:val="22"/>
          <w:lang w:val="es-MX" w:eastAsia="en-US"/>
        </w:rPr>
        <w:t xml:space="preserve">, como se puede apreciar en el acuerdo de admisión de la demanda en contra de la </w:t>
      </w:r>
      <w:r w:rsidRPr="00EE7063">
        <w:rPr>
          <w:rFonts w:ascii="Palatino Linotype" w:eastAsiaTheme="minorHAnsi" w:hAnsi="Palatino Linotype" w:cs="Arial"/>
          <w:szCs w:val="22"/>
          <w:lang w:val="es-MX" w:eastAsia="en-US"/>
        </w:rPr>
        <w:lastRenderedPageBreak/>
        <w:t>Ley de Seguridad Interior, al igual que está pendiente por resolver hasta la fecha de consulta que se aprecia.</w:t>
      </w:r>
    </w:p>
    <w:p w14:paraId="7A8FB871"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En relación con lo anterior, los Sujetos Obligados están constreñidos a documentar todo acto que derive del ejercicio de sus facultades o competencias, considerando así la publicidad de dichos actos, lo anterior lo enmarca el artículo 18 de la Ley de la materia que establece lo siguiente:</w:t>
      </w:r>
    </w:p>
    <w:p w14:paraId="76A3B2DF" w14:textId="77777777" w:rsidR="00FD6737" w:rsidRPr="00EE7063" w:rsidRDefault="00FD6737" w:rsidP="00FD6737">
      <w:pPr>
        <w:spacing w:before="100" w:beforeAutospacing="1" w:after="100" w:afterAutospacing="1"/>
        <w:ind w:left="851" w:right="851"/>
        <w:jc w:val="both"/>
        <w:rPr>
          <w:rFonts w:ascii="Palatino Linotype" w:eastAsiaTheme="minorHAnsi" w:hAnsi="Palatino Linotype" w:cs="Arial"/>
          <w:i/>
          <w:sz w:val="22"/>
          <w:szCs w:val="22"/>
          <w:lang w:eastAsia="en-US"/>
        </w:rPr>
      </w:pPr>
      <w:r w:rsidRPr="00EE7063">
        <w:rPr>
          <w:rFonts w:ascii="Palatino Linotype" w:eastAsiaTheme="minorHAnsi" w:hAnsi="Palatino Linotype" w:cs="Arial"/>
          <w:i/>
          <w:sz w:val="22"/>
          <w:szCs w:val="22"/>
          <w:lang w:eastAsia="en-US"/>
        </w:rPr>
        <w:t>“Artículo 18. Los sujetos obligados deberán documentar todo acto que derive del ejercicio de sus facultades, competencias o funciones, considerando desde su origen la eventual publicidad y reutilización de la información que generen.”</w:t>
      </w:r>
    </w:p>
    <w:p w14:paraId="0111FD8A"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eastAsia="en-US"/>
        </w:rPr>
        <w:t>Del precepto invocado, se desprende que dentro de las facultades y competencias del Sujeto Obligado está la de promover una controversia constitucional, como ya se ha puntualizado, por esa razón debe documentar el acto realizado y en su caso hacerlo público.</w:t>
      </w:r>
    </w:p>
    <w:p w14:paraId="2A385999"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Correlacionado con lo anterior la misma Ley de la materia, en la fracción XIII, del artículo 24</w:t>
      </w:r>
      <w:r w:rsidRPr="00EE7063">
        <w:rPr>
          <w:rStyle w:val="Refdenotaalpie"/>
          <w:rFonts w:ascii="Palatino Linotype" w:eastAsiaTheme="minorHAnsi" w:hAnsi="Palatino Linotype" w:cs="Arial"/>
          <w:szCs w:val="22"/>
          <w:lang w:val="es-MX" w:eastAsia="en-US"/>
        </w:rPr>
        <w:footnoteReference w:id="5"/>
      </w:r>
      <w:r w:rsidRPr="00EE7063">
        <w:rPr>
          <w:rFonts w:ascii="Palatino Linotype" w:eastAsiaTheme="minorHAnsi" w:hAnsi="Palatino Linotype" w:cs="Arial"/>
          <w:szCs w:val="22"/>
          <w:lang w:val="es-MX" w:eastAsia="en-US"/>
        </w:rPr>
        <w:t>, indica de manera específica las obligaciones que se tienen que cumplir por parte de los Sujetos Obligados, e indica que se debe de difundir la información de carácter público, para el caso que nos ocupa el documento de la promoción de la controversia constitucional, indudablemente tiene naturaleza pública.</w:t>
      </w:r>
    </w:p>
    <w:p w14:paraId="4ED1FA7B"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 xml:space="preserve">Ahora bien, la información solicitada está en un proceso judicial ante el Alto Tribunal del país, que no ha quedado firme, cuando se está ante dicho escenario lo </w:t>
      </w:r>
      <w:r w:rsidRPr="00EE7063">
        <w:rPr>
          <w:rFonts w:ascii="Palatino Linotype" w:eastAsiaTheme="minorHAnsi" w:hAnsi="Palatino Linotype" w:cs="Arial"/>
          <w:szCs w:val="22"/>
          <w:lang w:val="es-MX" w:eastAsia="en-US"/>
        </w:rPr>
        <w:lastRenderedPageBreak/>
        <w:t>conducente es que se clasifique como información reservada, como lo indica la fracción X del artículo 140</w:t>
      </w:r>
      <w:r w:rsidRPr="00EE7063">
        <w:rPr>
          <w:rStyle w:val="Refdenotaalpie"/>
          <w:rFonts w:ascii="Palatino Linotype" w:eastAsiaTheme="minorHAnsi" w:hAnsi="Palatino Linotype" w:cs="Arial"/>
          <w:szCs w:val="22"/>
          <w:lang w:val="es-MX" w:eastAsia="en-US"/>
        </w:rPr>
        <w:footnoteReference w:id="6"/>
      </w:r>
      <w:r w:rsidRPr="00EE7063">
        <w:rPr>
          <w:rFonts w:ascii="Palatino Linotype" w:eastAsiaTheme="minorHAnsi" w:hAnsi="Palatino Linotype" w:cs="Arial"/>
          <w:szCs w:val="22"/>
          <w:lang w:val="es-MX" w:eastAsia="en-US"/>
        </w:rPr>
        <w:t xml:space="preserve"> de la Ley de materia, pero solamente en el caso de que el daño que se pueda producir con la publicación de la información sea mayor que el interés público de conocerla, y para el caso concreto, no se actualiza esta figura, toda vez que es mayor el interés público, ya que se trata de la Ley de Seguridad Interior, dicha ley contiene entre varios aspectos los más importantes derechos humanos, los cuales indudablemente son de interés general.</w:t>
      </w:r>
    </w:p>
    <w:p w14:paraId="688312FD" w14:textId="2D540C46"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 xml:space="preserve">Relacionado con lo </w:t>
      </w:r>
      <w:r w:rsidR="001D05B8" w:rsidRPr="00EE7063">
        <w:rPr>
          <w:rFonts w:ascii="Palatino Linotype" w:eastAsiaTheme="minorHAnsi" w:hAnsi="Palatino Linotype" w:cs="Arial"/>
          <w:szCs w:val="22"/>
          <w:lang w:val="es-MX" w:eastAsia="en-US"/>
        </w:rPr>
        <w:t>a</w:t>
      </w:r>
      <w:r w:rsidR="00305C16" w:rsidRPr="00EE7063">
        <w:rPr>
          <w:rFonts w:ascii="Palatino Linotype" w:eastAsiaTheme="minorHAnsi" w:hAnsi="Palatino Linotype" w:cs="Arial"/>
          <w:szCs w:val="22"/>
          <w:lang w:val="es-MX" w:eastAsia="en-US"/>
        </w:rPr>
        <w:t>nt</w:t>
      </w:r>
      <w:r w:rsidR="001D05B8" w:rsidRPr="00EE7063">
        <w:rPr>
          <w:rFonts w:ascii="Palatino Linotype" w:eastAsiaTheme="minorHAnsi" w:hAnsi="Palatino Linotype" w:cs="Arial"/>
          <w:szCs w:val="22"/>
          <w:lang w:val="es-MX" w:eastAsia="en-US"/>
        </w:rPr>
        <w:t>erior</w:t>
      </w:r>
      <w:r w:rsidRPr="00EE7063">
        <w:rPr>
          <w:rFonts w:ascii="Palatino Linotype" w:eastAsiaTheme="minorHAnsi" w:hAnsi="Palatino Linotype" w:cs="Arial"/>
          <w:szCs w:val="22"/>
          <w:lang w:val="es-MX" w:eastAsia="en-US"/>
        </w:rPr>
        <w:t xml:space="preserve">, ante la importancia que reviste la Ley de Seguridad Interior, así también como al entorno y preocupación social que se generó cuando fue publicada dicha Ley, aunado a que nuestro Alto Tribunal Constitucional, la Suprema Corte de Justicia de la Nación, está conociendo no solamente de la controversia constitucional promovida por el Municipio de </w:t>
      </w:r>
      <w:r w:rsidR="00305C16" w:rsidRPr="00EE7063">
        <w:rPr>
          <w:rFonts w:ascii="Palatino Linotype" w:eastAsiaTheme="minorHAnsi" w:hAnsi="Palatino Linotype" w:cs="Arial"/>
          <w:szCs w:val="22"/>
          <w:lang w:val="es-MX" w:eastAsia="en-US"/>
        </w:rPr>
        <w:t>Cocotitlán</w:t>
      </w:r>
      <w:r w:rsidRPr="00EE7063">
        <w:rPr>
          <w:rFonts w:ascii="Palatino Linotype" w:eastAsiaTheme="minorHAnsi" w:hAnsi="Palatino Linotype" w:cs="Arial"/>
          <w:szCs w:val="22"/>
          <w:lang w:val="es-MX" w:eastAsia="en-US"/>
        </w:rPr>
        <w:t>, sino también de más municipios, de ahí que se derive la importancia para que se pueda conocer de manera fehaciente lo solicitado por la parte recurrente.</w:t>
      </w:r>
    </w:p>
    <w:p w14:paraId="4CB02C02" w14:textId="5354E9F4" w:rsidR="00FD6737" w:rsidRPr="00EE7063" w:rsidRDefault="00CE5136" w:rsidP="00073523">
      <w:pPr>
        <w:spacing w:after="160" w:line="360" w:lineRule="auto"/>
        <w:jc w:val="both"/>
        <w:rPr>
          <w:rFonts w:ascii="Palatino Linotype" w:eastAsiaTheme="minorHAnsi" w:hAnsi="Palatino Linotype" w:cstheme="minorBidi"/>
          <w:szCs w:val="22"/>
          <w:lang w:val="es-MX" w:eastAsia="en-US"/>
        </w:rPr>
      </w:pPr>
      <w:r w:rsidRPr="00EE7063">
        <w:rPr>
          <w:rFonts w:ascii="Palatino Linotype" w:eastAsiaTheme="minorHAnsi" w:hAnsi="Palatino Linotype" w:cstheme="minorBidi"/>
          <w:szCs w:val="22"/>
          <w:lang w:val="es-MX" w:eastAsia="en-US"/>
        </w:rPr>
        <w:t>Por lo anterior,</w:t>
      </w:r>
      <w:r w:rsidR="00FD6737" w:rsidRPr="00EE7063">
        <w:rPr>
          <w:rFonts w:ascii="Palatino Linotype" w:eastAsiaTheme="minorHAnsi" w:hAnsi="Palatino Linotype" w:cstheme="minorBidi"/>
          <w:szCs w:val="22"/>
          <w:lang w:val="es-MX" w:eastAsia="en-US"/>
        </w:rPr>
        <w:t xml:space="preserve"> es que se considera necesario ahondar sobre el tema de </w:t>
      </w:r>
      <w:r w:rsidR="00FD6737" w:rsidRPr="00EE7063">
        <w:rPr>
          <w:rFonts w:ascii="Palatino Linotype" w:eastAsiaTheme="minorHAnsi" w:hAnsi="Palatino Linotype" w:cstheme="minorBidi"/>
          <w:i/>
          <w:szCs w:val="22"/>
          <w:lang w:val="es-MX" w:eastAsia="en-US"/>
        </w:rPr>
        <w:t>interés público</w:t>
      </w:r>
      <w:r w:rsidR="00FD6737" w:rsidRPr="00EE7063">
        <w:rPr>
          <w:rFonts w:ascii="Palatino Linotype" w:eastAsiaTheme="minorHAnsi" w:hAnsi="Palatino Linotype" w:cstheme="minorBidi"/>
          <w:szCs w:val="22"/>
          <w:lang w:val="es-MX" w:eastAsia="en-US"/>
        </w:rPr>
        <w:t xml:space="preserve"> a efecto de sustentar con mayor efectividad la publicidad de l</w:t>
      </w:r>
      <w:r w:rsidR="00073523" w:rsidRPr="00EE7063">
        <w:rPr>
          <w:rFonts w:ascii="Palatino Linotype" w:eastAsiaTheme="minorHAnsi" w:hAnsi="Palatino Linotype" w:cstheme="minorBidi"/>
          <w:szCs w:val="22"/>
          <w:lang w:val="es-MX" w:eastAsia="en-US"/>
        </w:rPr>
        <w:t xml:space="preserve">a información que nos ocupa, </w:t>
      </w:r>
      <w:r w:rsidR="00FD6737" w:rsidRPr="00EE7063">
        <w:rPr>
          <w:rFonts w:ascii="Palatino Linotype" w:eastAsiaTheme="minorHAnsi" w:hAnsi="Palatino Linotype" w:cs="Arial"/>
          <w:szCs w:val="22"/>
          <w:lang w:val="es-MX" w:eastAsia="en-US"/>
        </w:rPr>
        <w:t xml:space="preserve">es importante mencionar que el punto </w:t>
      </w:r>
      <w:r w:rsidR="002B733C" w:rsidRPr="00EE7063">
        <w:rPr>
          <w:rFonts w:ascii="Palatino Linotype" w:eastAsiaTheme="minorHAnsi" w:hAnsi="Palatino Linotype" w:cs="Arial"/>
          <w:szCs w:val="22"/>
          <w:lang w:val="es-MX" w:eastAsia="en-US"/>
        </w:rPr>
        <w:t>fundamental</w:t>
      </w:r>
      <w:r w:rsidR="00FD6737" w:rsidRPr="00EE7063">
        <w:rPr>
          <w:rFonts w:ascii="Palatino Linotype" w:eastAsiaTheme="minorHAnsi" w:hAnsi="Palatino Linotype" w:cs="Arial"/>
          <w:szCs w:val="22"/>
          <w:lang w:val="es-MX" w:eastAsia="en-US"/>
        </w:rPr>
        <w:t xml:space="preserve"> en el presente asunto es el interés público que conlleva conocer el documento solicitado, y es entendido como interés público, la necesidad de la sociedad por conocer el entorno que les rodea y también es el derecho a la verdad, que enmarca derechos humanos.</w:t>
      </w:r>
    </w:p>
    <w:p w14:paraId="1D9528C9"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lastRenderedPageBreak/>
        <w:t>Es imprescindible dar acceso a la información pública, ya que uno de los argumentos vertidos en la resolución de Amparo en revisión 934/2016, dictada por la Suprema Corte de Justicia de la Nación, fue el siguiente:</w:t>
      </w:r>
    </w:p>
    <w:p w14:paraId="7E4A7B9C" w14:textId="77777777" w:rsidR="00FD6737" w:rsidRPr="00EE7063" w:rsidRDefault="00FD6737" w:rsidP="00FD6737">
      <w:pPr>
        <w:spacing w:before="100" w:beforeAutospacing="1" w:after="100" w:afterAutospacing="1"/>
        <w:ind w:left="851" w:right="851"/>
        <w:jc w:val="both"/>
        <w:rPr>
          <w:rFonts w:ascii="Palatino Linotype" w:eastAsiaTheme="minorHAnsi" w:hAnsi="Palatino Linotype" w:cs="Arial"/>
          <w:i/>
          <w:sz w:val="22"/>
          <w:szCs w:val="22"/>
          <w:lang w:eastAsia="en-US"/>
        </w:rPr>
      </w:pPr>
      <w:r w:rsidRPr="00EE7063">
        <w:rPr>
          <w:rFonts w:ascii="Palatino Linotype" w:eastAsiaTheme="minorHAnsi" w:hAnsi="Palatino Linotype" w:cs="Arial"/>
          <w:i/>
          <w:sz w:val="22"/>
          <w:szCs w:val="22"/>
          <w:lang w:eastAsia="en-US"/>
        </w:rPr>
        <w:t>“…Como lo ha establecido la Corte Interamericana sobre Derechos Humanos "para que el Estado satisfaga el deber de garantizar adecuadamente diversos derechos protegidos en la Convención, entre ellos el derecho de acceso a la justicia y el conocimiento y acceso a la verdad, es necesario que cumpla su deber de investigar, juzgar y, en su caso, sancionar y reparar las graves violaciones a los derechos humanos…"</w:t>
      </w:r>
    </w:p>
    <w:p w14:paraId="0A7512A6"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eastAsia="en-US"/>
        </w:rPr>
      </w:pPr>
      <w:r w:rsidRPr="00EE7063">
        <w:rPr>
          <w:rFonts w:ascii="Palatino Linotype" w:eastAsiaTheme="minorHAnsi" w:hAnsi="Palatino Linotype" w:cs="Arial"/>
          <w:szCs w:val="22"/>
          <w:lang w:eastAsia="en-US"/>
        </w:rPr>
        <w:t>Del argumento en la resolución antes mencionada se rescata que el Estado como ente político, tiene la obligación de tutelar los derechos humanos y ante todo de dar a conocer a la sociedad las circunstancias o elementos que contengan derechos humanos.</w:t>
      </w:r>
    </w:p>
    <w:p w14:paraId="48593143"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eastAsia="en-US"/>
        </w:rPr>
        <w:t xml:space="preserve">Ahora bien, </w:t>
      </w:r>
      <w:r w:rsidRPr="00EE7063">
        <w:rPr>
          <w:rFonts w:ascii="Palatino Linotype" w:eastAsiaTheme="minorHAnsi" w:hAnsi="Palatino Linotype" w:cs="Arial"/>
          <w:szCs w:val="22"/>
          <w:lang w:val="es-MX" w:eastAsia="en-US"/>
        </w:rPr>
        <w:t>lo anterior permite el acceso a la información, por ser cuestiones de orden público e interés social, en virtud de que la sociedad en su conjunto tiene derecho a conocer la conducta de quienes son sus representantes sociales, como lo es el Presidente Municipal, para evitar violaciones graves a los derechos humanos, así como comprender los elementos de carácter objetivo y subjetivo que contribuyeron a crear las condiciones y circunstancias que originó la promoción de la controversia constitucional.</w:t>
      </w:r>
    </w:p>
    <w:p w14:paraId="20C3B1B5"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Asimismo, la sociedad tiene el derecho de contar con elementos para establecer si los mecanismos municipales sirvieron de marco para proteger la soberanía del municipio, al igual que la protección a sus derechos humanos.</w:t>
      </w:r>
    </w:p>
    <w:p w14:paraId="0E85227B" w14:textId="5C3D0F0F"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lastRenderedPageBreak/>
        <w:t xml:space="preserve">Así, se justifica el acceso al conocimiento público y consecuente investigación por parte de la sociedad, respecto del funcionamiento institucional de los poderes públicos, en este caso del Municipio, es decir, conocer todas las diligencias que se estén llevando a cabo para la oportuna investigación, y en su caso protección a derechos humanos, ya </w:t>
      </w:r>
      <w:r w:rsidR="00537493" w:rsidRPr="00EE7063">
        <w:rPr>
          <w:rFonts w:ascii="Palatino Linotype" w:eastAsiaTheme="minorHAnsi" w:hAnsi="Palatino Linotype" w:cs="Arial"/>
          <w:szCs w:val="22"/>
          <w:lang w:val="es-MX" w:eastAsia="en-US"/>
        </w:rPr>
        <w:t xml:space="preserve">que </w:t>
      </w:r>
      <w:r w:rsidRPr="00EE7063">
        <w:rPr>
          <w:rFonts w:ascii="Palatino Linotype" w:eastAsiaTheme="minorHAnsi" w:hAnsi="Palatino Linotype" w:cs="Arial"/>
          <w:szCs w:val="22"/>
          <w:lang w:val="es-MX" w:eastAsia="en-US"/>
        </w:rPr>
        <w:t xml:space="preserve">de esta manera ayuda a las comunidades a entender las causas sociales del actuar de sus representantes: </w:t>
      </w:r>
      <w:r w:rsidR="00537493" w:rsidRPr="00EE7063">
        <w:rPr>
          <w:rFonts w:ascii="Palatino Linotype" w:eastAsiaTheme="minorHAnsi" w:hAnsi="Palatino Linotype" w:cs="Arial"/>
          <w:szCs w:val="22"/>
          <w:lang w:val="es-MX" w:eastAsia="en-US"/>
        </w:rPr>
        <w:t>por</w:t>
      </w:r>
      <w:r w:rsidRPr="00EE7063">
        <w:rPr>
          <w:rFonts w:ascii="Palatino Linotype" w:eastAsiaTheme="minorHAnsi" w:hAnsi="Palatino Linotype" w:cs="Arial"/>
          <w:szCs w:val="22"/>
          <w:lang w:val="es-MX" w:eastAsia="en-US"/>
        </w:rPr>
        <w:t>que, sin el conocimiento preciso de las acciones del pasado, es difícil comprender las futuras.</w:t>
      </w:r>
    </w:p>
    <w:p w14:paraId="2488853A"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En adición a lo anterior es preciso invocar la Tesis Jurisprudencial Tesis: P./J. 54/2008, que menciona lo siguiente:</w:t>
      </w:r>
    </w:p>
    <w:p w14:paraId="246BD2EC" w14:textId="77777777" w:rsidR="00FD6737" w:rsidRPr="00EE7063" w:rsidRDefault="00FD6737" w:rsidP="00FD6737">
      <w:pPr>
        <w:spacing w:before="100" w:beforeAutospacing="1" w:after="100" w:afterAutospacing="1"/>
        <w:ind w:left="851" w:right="851"/>
        <w:jc w:val="both"/>
        <w:rPr>
          <w:rFonts w:ascii="Palatino Linotype" w:eastAsiaTheme="minorHAnsi" w:hAnsi="Palatino Linotype" w:cs="Arial"/>
          <w:b/>
          <w:i/>
          <w:sz w:val="22"/>
          <w:szCs w:val="22"/>
          <w:lang w:val="es-MX" w:eastAsia="en-US"/>
        </w:rPr>
      </w:pPr>
      <w:r w:rsidRPr="00EE7063">
        <w:rPr>
          <w:rFonts w:ascii="Palatino Linotype" w:eastAsiaTheme="minorHAnsi" w:hAnsi="Palatino Linotype" w:cs="Arial"/>
          <w:b/>
          <w:i/>
          <w:sz w:val="22"/>
          <w:szCs w:val="22"/>
          <w:lang w:val="es-MX" w:eastAsia="en-US"/>
        </w:rPr>
        <w:t>“ACCESO A LA INFORMACIÓN. SU NATURALEZA COMO GARANTÍAS INDIVIDUAL Y SOCIAL.</w:t>
      </w:r>
    </w:p>
    <w:p w14:paraId="57875AD6" w14:textId="77777777" w:rsidR="00FD6737" w:rsidRPr="00EE7063" w:rsidRDefault="00FD6737" w:rsidP="00FD6737">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EE7063">
        <w:rPr>
          <w:rFonts w:ascii="Palatino Linotype" w:eastAsiaTheme="minorHAnsi" w:hAnsi="Palatino Linotype" w:cs="Arial"/>
          <w:i/>
          <w:sz w:val="22"/>
          <w:szCs w:val="22"/>
          <w:lang w:val="es-MX" w:eastAsia="en-US"/>
        </w:rPr>
        <w:t xml:space="preserve">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w:t>
      </w:r>
      <w:r w:rsidRPr="00EE7063">
        <w:rPr>
          <w:rFonts w:ascii="Palatino Linotype" w:eastAsiaTheme="minorHAnsi" w:hAnsi="Palatino Linotype" w:cs="Arial"/>
          <w:i/>
          <w:sz w:val="22"/>
          <w:szCs w:val="22"/>
          <w:lang w:val="es-MX" w:eastAsia="en-US"/>
        </w:rPr>
        <w:lastRenderedPageBreak/>
        <w:t>información pública gubernamental y, a la vez, se vincula con el derecho de participación de los ciudadanos en la vida pública, protegido por la Constitución Política de los Estados Unidos Mexicanos.”</w:t>
      </w:r>
    </w:p>
    <w:p w14:paraId="7EB498EF"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De la Tesis Jurisprudencial anterior se desprende que el derecho de acceso a la información pública se puede entender como un derecho en sí mismo, pero también como una vía para accionar otros derechos que permiten a la ciudadanía tutelar y cuidar sus derechos humanos y hacerlos valer ante las autoridades de manera eficaz, eficiente, pero sobre todo con conocimiento y para el caso concreto lo es, porque la Ley por la cual se promovió la Controversia Constitucional es de interés general, y por lo tanto debe incluir a la participación ciudadana.</w:t>
      </w:r>
    </w:p>
    <w:p w14:paraId="715BF6D1"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Todo lo anterior, permite que la sociedad pueda seguir interpelando ante el Estado para conocer la verdad de los hechos acontecidos, así como vigilar que las autoridades cumplimenten con su deber de investigar y defender los derechos humanos, de ahí que es necesario y justo que los gobernantes y gobernados tengan presente el actuar de sus representantes.</w:t>
      </w:r>
    </w:p>
    <w:p w14:paraId="7018A2A3" w14:textId="17C1867C" w:rsidR="00FD6737" w:rsidRPr="00EE7063" w:rsidRDefault="002B733C" w:rsidP="00FD6737">
      <w:pPr>
        <w:spacing w:before="100" w:beforeAutospacing="1" w:after="100" w:afterAutospacing="1" w:line="360" w:lineRule="auto"/>
        <w:jc w:val="both"/>
        <w:rPr>
          <w:rFonts w:ascii="Palatino Linotype" w:eastAsiaTheme="minorHAnsi" w:hAnsi="Palatino Linotype" w:cs="Arial"/>
          <w:szCs w:val="22"/>
          <w:lang w:eastAsia="en-US"/>
        </w:rPr>
      </w:pPr>
      <w:r w:rsidRPr="00EE7063">
        <w:rPr>
          <w:rFonts w:ascii="Palatino Linotype" w:eastAsiaTheme="minorHAnsi" w:hAnsi="Palatino Linotype" w:cs="Arial"/>
          <w:szCs w:val="22"/>
          <w:lang w:val="es-MX" w:eastAsia="en-US"/>
        </w:rPr>
        <w:t>Así</w:t>
      </w:r>
      <w:r w:rsidR="00FD6737" w:rsidRPr="00EE7063">
        <w:rPr>
          <w:rFonts w:ascii="Palatino Linotype" w:eastAsiaTheme="minorHAnsi" w:hAnsi="Palatino Linotype" w:cs="Arial"/>
          <w:szCs w:val="22"/>
          <w:lang w:val="es-MX" w:eastAsia="en-US"/>
        </w:rPr>
        <w:t xml:space="preserve">, el particular requiere en su solicitud de información el escrito </w:t>
      </w:r>
      <w:r w:rsidR="00FD6737" w:rsidRPr="00EE7063">
        <w:rPr>
          <w:rFonts w:ascii="Palatino Linotype" w:eastAsiaTheme="minorHAnsi" w:hAnsi="Palatino Linotype" w:cs="Arial"/>
          <w:szCs w:val="22"/>
          <w:lang w:eastAsia="en-US"/>
        </w:rPr>
        <w:t>de interposición de la controversia constitucional, p</w:t>
      </w:r>
      <w:r w:rsidR="00051D02" w:rsidRPr="00EE7063">
        <w:rPr>
          <w:rFonts w:ascii="Palatino Linotype" w:eastAsiaTheme="minorHAnsi" w:hAnsi="Palatino Linotype" w:cs="Arial"/>
          <w:szCs w:val="22"/>
          <w:lang w:eastAsia="en-US"/>
        </w:rPr>
        <w:t xml:space="preserve">or lo que </w:t>
      </w:r>
      <w:r w:rsidR="00FD6737" w:rsidRPr="00EE7063">
        <w:rPr>
          <w:rFonts w:ascii="Palatino Linotype" w:eastAsiaTheme="minorHAnsi" w:hAnsi="Palatino Linotype" w:cs="Arial"/>
          <w:szCs w:val="22"/>
          <w:lang w:eastAsia="en-US"/>
        </w:rPr>
        <w:t xml:space="preserve">se debe tomar en cuenta que al dar acceso al documento principal, también </w:t>
      </w:r>
      <w:r w:rsidR="00051D02" w:rsidRPr="00EE7063">
        <w:rPr>
          <w:rFonts w:ascii="Palatino Linotype" w:eastAsiaTheme="minorHAnsi" w:hAnsi="Palatino Linotype" w:cs="Arial"/>
          <w:szCs w:val="22"/>
          <w:lang w:eastAsia="en-US"/>
        </w:rPr>
        <w:t>se dará</w:t>
      </w:r>
      <w:r w:rsidR="00FD6737" w:rsidRPr="00EE7063">
        <w:rPr>
          <w:rFonts w:ascii="Palatino Linotype" w:eastAsiaTheme="minorHAnsi" w:hAnsi="Palatino Linotype" w:cs="Arial"/>
          <w:szCs w:val="22"/>
          <w:lang w:eastAsia="en-US"/>
        </w:rPr>
        <w:t xml:space="preserve"> a los documentos anexos, es decir, forma parte de un todo, tanto del documento principal como los anexos de éste, lo anterior encuentra sustento en el criterio 17/17 emitido por el INAI, que menciona lo siguiente:</w:t>
      </w:r>
    </w:p>
    <w:p w14:paraId="7C244B03" w14:textId="10D2575F" w:rsidR="00FD6737" w:rsidRPr="00EE7063" w:rsidRDefault="00CF47B0" w:rsidP="00FD6737">
      <w:pPr>
        <w:spacing w:before="100" w:beforeAutospacing="1" w:after="100" w:afterAutospacing="1"/>
        <w:ind w:left="851" w:right="851"/>
        <w:jc w:val="both"/>
        <w:rPr>
          <w:rFonts w:ascii="Palatino Linotype" w:eastAsiaTheme="minorHAnsi" w:hAnsi="Palatino Linotype" w:cs="Arial"/>
          <w:b/>
          <w:i/>
          <w:sz w:val="22"/>
          <w:szCs w:val="22"/>
          <w:lang w:val="es-MX" w:eastAsia="en-US"/>
        </w:rPr>
      </w:pPr>
      <w:r w:rsidRPr="00EE7063">
        <w:rPr>
          <w:rFonts w:ascii="Palatino Linotype" w:eastAsiaTheme="minorHAnsi" w:hAnsi="Palatino Linotype" w:cs="Arial"/>
          <w:b/>
          <w:bCs/>
          <w:i/>
          <w:sz w:val="22"/>
          <w:szCs w:val="22"/>
          <w:lang w:val="es-MX" w:eastAsia="en-US"/>
        </w:rPr>
        <w:t>“</w:t>
      </w:r>
      <w:r w:rsidR="00FD6737" w:rsidRPr="00EE7063">
        <w:rPr>
          <w:rFonts w:ascii="Palatino Linotype" w:eastAsiaTheme="minorHAnsi" w:hAnsi="Palatino Linotype" w:cs="Arial"/>
          <w:b/>
          <w:bCs/>
          <w:i/>
          <w:sz w:val="22"/>
          <w:szCs w:val="22"/>
          <w:lang w:val="es-MX" w:eastAsia="en-US"/>
        </w:rPr>
        <w:t xml:space="preserve">Anexos de los documentos solicitados. </w:t>
      </w:r>
      <w:r w:rsidR="00FD6737" w:rsidRPr="00EE7063">
        <w:rPr>
          <w:rFonts w:ascii="Palatino Linotype" w:eastAsiaTheme="minorHAnsi" w:hAnsi="Palatino Linotype" w:cs="Arial"/>
          <w:bCs/>
          <w:i/>
          <w:sz w:val="22"/>
          <w:szCs w:val="22"/>
          <w:lang w:val="es-MX" w:eastAsia="en-US"/>
        </w:rPr>
        <w:t xml:space="preserve">Los anexos de un documento se consideran parte integral del mismo. Por lo anterior, ante solicitudes de información relacionadas con documentos que incluyen anexos, los sujetos obligados deberán entregarlos, con excepción de aquellos casos en que el solicitante </w:t>
      </w:r>
      <w:r w:rsidR="00FD6737" w:rsidRPr="00EE7063">
        <w:rPr>
          <w:rFonts w:ascii="Palatino Linotype" w:eastAsiaTheme="minorHAnsi" w:hAnsi="Palatino Linotype" w:cs="Arial"/>
          <w:bCs/>
          <w:i/>
          <w:sz w:val="22"/>
          <w:szCs w:val="22"/>
          <w:lang w:val="es-MX" w:eastAsia="en-US"/>
        </w:rPr>
        <w:lastRenderedPageBreak/>
        <w:t>manifieste expresamente su interés de acceder únicamente al documento principal.</w:t>
      </w:r>
      <w:r w:rsidRPr="00EE7063">
        <w:rPr>
          <w:rFonts w:ascii="Palatino Linotype" w:eastAsiaTheme="minorHAnsi" w:hAnsi="Palatino Linotype" w:cs="Arial"/>
          <w:bCs/>
          <w:i/>
          <w:sz w:val="22"/>
          <w:szCs w:val="22"/>
          <w:lang w:val="es-MX" w:eastAsia="en-US"/>
        </w:rPr>
        <w:t>”</w:t>
      </w:r>
    </w:p>
    <w:p w14:paraId="175E9F6A" w14:textId="77777777" w:rsidR="00FD6737" w:rsidRPr="00EE7063" w:rsidRDefault="00FD6737" w:rsidP="00FD6737">
      <w:pPr>
        <w:spacing w:before="100" w:beforeAutospacing="1" w:after="100" w:afterAutospacing="1"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De lo dicho con anterioridad y ante la evidencia encontrada, por parte de este Órgano Garante, es imprescindible, que el Sujeto Obligado siempre se conduzca con profesionalismo y honestidad, así también cumpla los principios por los cuales se rige la materia entre los que se encuentran certeza, eficacia, máxima publicidad y trasparencia, entre otros.</w:t>
      </w:r>
    </w:p>
    <w:p w14:paraId="59864ABE" w14:textId="7BF59008" w:rsidR="0079743B" w:rsidRPr="00EE7063" w:rsidRDefault="00D60C21" w:rsidP="00FD6737">
      <w:pPr>
        <w:spacing w:before="100" w:beforeAutospacing="1" w:after="100" w:afterAutospacing="1" w:line="360" w:lineRule="auto"/>
        <w:jc w:val="both"/>
        <w:rPr>
          <w:rFonts w:ascii="Palatino Linotype" w:hAnsi="Palatino Linotype"/>
        </w:rPr>
      </w:pPr>
      <w:r w:rsidRPr="00EE7063">
        <w:rPr>
          <w:rFonts w:ascii="Palatino Linotype" w:eastAsiaTheme="minorHAnsi" w:hAnsi="Palatino Linotype" w:cs="Arial"/>
          <w:szCs w:val="22"/>
          <w:lang w:val="es-MX" w:eastAsia="en-US"/>
        </w:rPr>
        <w:t>Ahora bien</w:t>
      </w:r>
      <w:r w:rsidR="0079743B" w:rsidRPr="00EE7063">
        <w:rPr>
          <w:rFonts w:ascii="Palatino Linotype" w:eastAsiaTheme="minorHAnsi" w:hAnsi="Palatino Linotype" w:cs="Arial"/>
          <w:szCs w:val="22"/>
          <w:lang w:val="es-MX" w:eastAsia="en-US"/>
        </w:rPr>
        <w:t xml:space="preserve">, como anteriormente se ha señalado, el Sujeto Obligado no brindó una respuesta </w:t>
      </w:r>
      <w:r w:rsidRPr="00EE7063">
        <w:rPr>
          <w:rFonts w:ascii="Palatino Linotype" w:eastAsiaTheme="minorHAnsi" w:hAnsi="Palatino Linotype" w:cs="Arial"/>
          <w:szCs w:val="22"/>
          <w:lang w:val="es-MX" w:eastAsia="en-US"/>
        </w:rPr>
        <w:t>al particular y únicamente le fue turnada la solicitud de información al</w:t>
      </w:r>
      <w:r w:rsidR="00CF47B0" w:rsidRPr="00EE7063">
        <w:rPr>
          <w:rFonts w:ascii="Palatino Linotype" w:eastAsiaTheme="minorHAnsi" w:hAnsi="Palatino Linotype" w:cs="Arial"/>
          <w:szCs w:val="22"/>
          <w:lang w:val="es-MX" w:eastAsia="en-US"/>
        </w:rPr>
        <w:t xml:space="preserve"> servidor público Jorge Hugo Castillo Bandillo, quien de acuerdo </w:t>
      </w:r>
      <w:r w:rsidR="00CF47B0" w:rsidRPr="00EE7063">
        <w:rPr>
          <w:rFonts w:ascii="Palatino Linotype" w:hAnsi="Palatino Linotype"/>
        </w:rPr>
        <w:t>con el portal de Información Pública de Oficio Mexiquense (Ipomex) del Sujeto Obligado, se desempeñaba como Secretario del Ayuntamiento, el cual de acuerdo con la Ley Orgánica Municipal del Estado de México, cuenta con las atribuciones siguientes:</w:t>
      </w:r>
    </w:p>
    <w:p w14:paraId="55F59534" w14:textId="00196FE3" w:rsidR="00CF47B0" w:rsidRPr="00EE7063" w:rsidRDefault="00CF47B0" w:rsidP="00CF47B0">
      <w:pPr>
        <w:ind w:left="851" w:right="851"/>
        <w:jc w:val="both"/>
        <w:rPr>
          <w:rFonts w:ascii="Palatino Linotype" w:eastAsiaTheme="minorHAnsi" w:hAnsi="Palatino Linotype" w:cs="Arial"/>
          <w:bCs/>
          <w:i/>
          <w:sz w:val="22"/>
          <w:szCs w:val="22"/>
          <w:lang w:val="es-MX" w:eastAsia="en-US"/>
        </w:rPr>
      </w:pPr>
      <w:r w:rsidRPr="00EE7063">
        <w:rPr>
          <w:rFonts w:ascii="Palatino Linotype" w:eastAsiaTheme="minorHAnsi" w:hAnsi="Palatino Linotype" w:cs="Arial"/>
          <w:b/>
          <w:bCs/>
          <w:i/>
          <w:sz w:val="22"/>
          <w:szCs w:val="22"/>
          <w:lang w:val="es-MX" w:eastAsia="en-US"/>
        </w:rPr>
        <w:t>“Artículo 91.-</w:t>
      </w:r>
      <w:r w:rsidRPr="00EE7063">
        <w:rPr>
          <w:rFonts w:ascii="Palatino Linotype" w:eastAsiaTheme="minorHAnsi" w:hAnsi="Palatino Linotype" w:cs="Arial"/>
          <w:bCs/>
          <w:i/>
          <w:sz w:val="22"/>
          <w:szCs w:val="22"/>
          <w:lang w:val="es-MX" w:eastAsia="en-US"/>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DC44F59" w14:textId="77777777" w:rsidR="00CF47B0" w:rsidRPr="00EE7063" w:rsidRDefault="00CF47B0" w:rsidP="00CF47B0">
      <w:pPr>
        <w:ind w:left="851" w:right="851"/>
        <w:jc w:val="both"/>
        <w:rPr>
          <w:rFonts w:ascii="Palatino Linotype" w:eastAsiaTheme="minorHAnsi" w:hAnsi="Palatino Linotype" w:cs="Arial"/>
          <w:bCs/>
          <w:i/>
          <w:sz w:val="22"/>
          <w:szCs w:val="22"/>
          <w:lang w:val="es-MX" w:eastAsia="en-US"/>
        </w:rPr>
      </w:pPr>
      <w:r w:rsidRPr="00EE7063">
        <w:rPr>
          <w:rFonts w:ascii="Palatino Linotype" w:eastAsiaTheme="minorHAnsi" w:hAnsi="Palatino Linotype" w:cs="Arial"/>
          <w:bCs/>
          <w:i/>
          <w:sz w:val="22"/>
          <w:szCs w:val="22"/>
          <w:lang w:val="es-MX" w:eastAsia="en-US"/>
        </w:rPr>
        <w:t>…</w:t>
      </w:r>
    </w:p>
    <w:p w14:paraId="7FEBAFCF" w14:textId="0F24D8FC" w:rsidR="00CF47B0" w:rsidRPr="00EE7063" w:rsidRDefault="00CF47B0" w:rsidP="00CF47B0">
      <w:pPr>
        <w:ind w:left="851" w:right="851"/>
        <w:jc w:val="both"/>
        <w:rPr>
          <w:rFonts w:ascii="Palatino Linotype" w:eastAsiaTheme="minorHAnsi" w:hAnsi="Palatino Linotype" w:cs="Arial"/>
          <w:bCs/>
          <w:i/>
          <w:sz w:val="22"/>
          <w:szCs w:val="22"/>
          <w:lang w:val="es-MX" w:eastAsia="en-US"/>
        </w:rPr>
      </w:pPr>
      <w:r w:rsidRPr="00EE7063">
        <w:rPr>
          <w:rFonts w:ascii="Palatino Linotype" w:eastAsiaTheme="minorHAnsi" w:hAnsi="Palatino Linotype" w:cs="Arial"/>
          <w:bCs/>
          <w:i/>
          <w:sz w:val="22"/>
          <w:szCs w:val="22"/>
          <w:lang w:val="es-MX" w:eastAsia="en-US"/>
        </w:rPr>
        <w:t xml:space="preserve">V. Validar con su firma, los documentos oficiales emanados del ayuntamiento o de cualquiera de sus miembros; </w:t>
      </w:r>
    </w:p>
    <w:p w14:paraId="5AAA6B77" w14:textId="3BFC65D0" w:rsidR="00CF47B0" w:rsidRPr="00EE7063" w:rsidRDefault="00CF47B0" w:rsidP="00CF47B0">
      <w:pPr>
        <w:ind w:left="851" w:right="851"/>
        <w:jc w:val="both"/>
        <w:rPr>
          <w:rFonts w:ascii="Palatino Linotype" w:eastAsiaTheme="minorHAnsi" w:hAnsi="Palatino Linotype" w:cs="Arial"/>
          <w:bCs/>
          <w:i/>
          <w:sz w:val="22"/>
          <w:szCs w:val="22"/>
          <w:lang w:val="es-MX" w:eastAsia="en-US"/>
        </w:rPr>
      </w:pPr>
      <w:r w:rsidRPr="00EE7063">
        <w:rPr>
          <w:rFonts w:ascii="Palatino Linotype" w:eastAsiaTheme="minorHAnsi" w:hAnsi="Palatino Linotype" w:cs="Arial"/>
          <w:bCs/>
          <w:i/>
          <w:sz w:val="22"/>
          <w:szCs w:val="22"/>
          <w:lang w:val="es-MX" w:eastAsia="en-US"/>
        </w:rPr>
        <w:t>VI. Tener a su cargo el archivo general del ayuntamiento;…”</w:t>
      </w:r>
    </w:p>
    <w:p w14:paraId="26ED66E5" w14:textId="0E5F79A7" w:rsidR="00CF47B0" w:rsidRPr="00EE7063" w:rsidRDefault="00A90C13" w:rsidP="00C56BF2">
      <w:pPr>
        <w:spacing w:before="240" w:after="240" w:line="360" w:lineRule="auto"/>
        <w:jc w:val="both"/>
        <w:rPr>
          <w:rFonts w:ascii="Palatino Linotype" w:eastAsiaTheme="minorHAnsi" w:hAnsi="Palatino Linotype" w:cs="Arial"/>
          <w:szCs w:val="22"/>
          <w:lang w:val="es-MX" w:eastAsia="en-US"/>
        </w:rPr>
      </w:pPr>
      <w:r w:rsidRPr="00EE7063">
        <w:rPr>
          <w:rFonts w:ascii="Palatino Linotype" w:eastAsiaTheme="minorHAnsi" w:hAnsi="Palatino Linotype" w:cs="Arial"/>
          <w:szCs w:val="22"/>
          <w:lang w:val="es-MX" w:eastAsia="en-US"/>
        </w:rPr>
        <w:t>Como se advierte en la normatividad transcrita, en los archivos de la Secretaría del Ayuntamiento podría obrar la información requerida, por lo que será procedente ordenar la entrega de la información materia de la solicitud, previa búsqueda exhaustiva y razonable de la misma en todas las áreas que conforme a sus atribuciones, funciones o competenticas pudieran contar con la misma.</w:t>
      </w:r>
    </w:p>
    <w:p w14:paraId="6E84C207" w14:textId="2D779E33" w:rsidR="00A90C13" w:rsidRPr="00EE7063" w:rsidRDefault="00A90C13" w:rsidP="00A90C13">
      <w:pPr>
        <w:autoSpaceDE w:val="0"/>
        <w:autoSpaceDN w:val="0"/>
        <w:adjustRightInd w:val="0"/>
        <w:spacing w:before="240" w:after="240" w:line="360" w:lineRule="auto"/>
        <w:ind w:right="-91"/>
        <w:jc w:val="both"/>
        <w:rPr>
          <w:rFonts w:ascii="Palatino Linotype" w:hAnsi="Palatino Linotype"/>
        </w:rPr>
      </w:pPr>
      <w:r w:rsidRPr="00EE7063">
        <w:rPr>
          <w:rFonts w:ascii="Palatino Linotype" w:eastAsiaTheme="minorHAnsi" w:hAnsi="Palatino Linotype" w:cs="Arial"/>
          <w:szCs w:val="22"/>
          <w:lang w:val="es-MX" w:eastAsia="en-US"/>
        </w:rPr>
        <w:lastRenderedPageBreak/>
        <w:t xml:space="preserve">Ello en atención al procedimiento de búsqueda </w:t>
      </w:r>
      <w:r w:rsidRPr="00EE7063">
        <w:rPr>
          <w:rFonts w:ascii="Palatino Linotype" w:hAnsi="Palatino Linotype" w:cs="Arial"/>
          <w:bCs/>
        </w:rPr>
        <w:t xml:space="preserve">de información que se debe seguir para localizar la información, el cual se encuentra establecido en los artículos </w:t>
      </w:r>
      <w:r w:rsidRPr="00EE7063">
        <w:rPr>
          <w:rFonts w:ascii="Palatino Linotype" w:hAnsi="Palatino Linotype" w:cs="Arial"/>
          <w:lang w:val="es-MX"/>
        </w:rPr>
        <w:t xml:space="preserve">151, </w:t>
      </w:r>
      <w:r w:rsidRPr="00EE7063">
        <w:rPr>
          <w:rFonts w:ascii="Palatino Linotype" w:hAnsi="Palatino Linotype"/>
        </w:rPr>
        <w:t>162 y 165 de la Ley de Transparencia y Acceso a la Información Pública del Estado de México y Municipios, en los siguientes términos:</w:t>
      </w:r>
    </w:p>
    <w:p w14:paraId="76147343" w14:textId="77777777" w:rsidR="00A90C13" w:rsidRPr="00EE7063" w:rsidRDefault="00A90C13" w:rsidP="00A90C13">
      <w:pPr>
        <w:spacing w:after="120"/>
        <w:ind w:left="851" w:right="900"/>
        <w:jc w:val="both"/>
        <w:rPr>
          <w:rFonts w:ascii="Palatino Linotype" w:hAnsi="Palatino Linotype"/>
          <w:i/>
          <w:sz w:val="22"/>
          <w:szCs w:val="20"/>
        </w:rPr>
      </w:pPr>
      <w:r w:rsidRPr="00EE7063">
        <w:rPr>
          <w:rFonts w:ascii="Palatino Linotype" w:hAnsi="Palatino Linotype"/>
          <w:b/>
          <w:i/>
          <w:sz w:val="22"/>
          <w:szCs w:val="20"/>
        </w:rPr>
        <w:t>“Artículo 151.</w:t>
      </w:r>
      <w:r w:rsidRPr="00EE7063">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0996C0C3" w14:textId="77777777" w:rsidR="00A90C13" w:rsidRPr="00EE7063" w:rsidRDefault="00A90C13" w:rsidP="00A90C13">
      <w:pPr>
        <w:spacing w:after="120"/>
        <w:ind w:left="851" w:right="900"/>
        <w:jc w:val="both"/>
        <w:rPr>
          <w:rFonts w:ascii="Palatino Linotype" w:hAnsi="Palatino Linotype"/>
          <w:i/>
          <w:sz w:val="22"/>
          <w:szCs w:val="20"/>
        </w:rPr>
      </w:pPr>
      <w:r w:rsidRPr="00EE7063">
        <w:rPr>
          <w:rFonts w:ascii="Palatino Linotype" w:hAnsi="Palatino Linotype"/>
          <w:b/>
          <w:i/>
          <w:sz w:val="22"/>
          <w:szCs w:val="20"/>
        </w:rPr>
        <w:t>Artículo 162.</w:t>
      </w:r>
      <w:r w:rsidRPr="00EE7063">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76DB035" w14:textId="77777777" w:rsidR="00A90C13" w:rsidRPr="00EE7063" w:rsidRDefault="00A90C13" w:rsidP="00A90C13">
      <w:pPr>
        <w:spacing w:after="120"/>
        <w:ind w:left="851" w:right="900"/>
        <w:jc w:val="both"/>
        <w:rPr>
          <w:rFonts w:ascii="Palatino Linotype" w:hAnsi="Palatino Linotype"/>
          <w:i/>
          <w:sz w:val="22"/>
          <w:szCs w:val="20"/>
        </w:rPr>
      </w:pPr>
      <w:r w:rsidRPr="00EE7063">
        <w:rPr>
          <w:rFonts w:ascii="Palatino Linotype" w:hAnsi="Palatino Linotype"/>
          <w:b/>
          <w:i/>
          <w:sz w:val="22"/>
          <w:szCs w:val="20"/>
        </w:rPr>
        <w:t>Artículo 165.</w:t>
      </w:r>
      <w:r w:rsidRPr="00EE7063">
        <w:rPr>
          <w:rFonts w:ascii="Palatino Linotype" w:hAnsi="Palatino Linotype"/>
          <w:i/>
          <w:sz w:val="22"/>
          <w:szCs w:val="20"/>
        </w:rPr>
        <w:t xml:space="preserve"> Los sujetos obligados establecerán la forma y términos en que darán trámite interno a las solicitudes en materia de acceso a la información…”</w:t>
      </w:r>
    </w:p>
    <w:p w14:paraId="49476984" w14:textId="77777777" w:rsidR="00C56BF2" w:rsidRPr="00EE7063" w:rsidRDefault="00C56BF2" w:rsidP="00C56BF2">
      <w:pPr>
        <w:spacing w:before="240" w:after="240" w:line="360" w:lineRule="auto"/>
        <w:jc w:val="both"/>
        <w:rPr>
          <w:rFonts w:ascii="Palatino Linotype" w:hAnsi="Palatino Linotype" w:cs="Arial"/>
        </w:rPr>
      </w:pPr>
      <w:r w:rsidRPr="00EE7063">
        <w:rPr>
          <w:rFonts w:ascii="Palatino Linotype" w:eastAsiaTheme="minorHAnsi" w:hAnsi="Palatino Linotype" w:cs="Arial"/>
          <w:szCs w:val="22"/>
          <w:lang w:val="es-MX" w:eastAsia="en-US"/>
        </w:rPr>
        <w:t xml:space="preserve">Por último, no pasa desapercibido </w:t>
      </w:r>
      <w:r w:rsidRPr="00EE7063">
        <w:rPr>
          <w:rFonts w:ascii="Palatino Linotype" w:hAnsi="Palatino Linotype" w:cs="Arial"/>
        </w:rPr>
        <w:t>para este Instituto Garante</w:t>
      </w:r>
      <w:r w:rsidRPr="00EE7063">
        <w:rPr>
          <w:rFonts w:ascii="Palatino Linotype" w:eastAsiaTheme="minorHAnsi" w:hAnsi="Palatino Linotype" w:cs="Arial"/>
          <w:szCs w:val="22"/>
          <w:lang w:val="es-MX" w:eastAsia="en-US"/>
        </w:rPr>
        <w:t xml:space="preserve"> y como obra en el expediente electrónico del recurso de revisión indicado al rubro, que el Sujeto Obligado trasgredió el derecho de acceso a la información pública del particular no atender la solicitud de referencia conforme a lo establecido en la Ley de Transparencia y Acceso a la Información pública del Estado de México y Municipios, por lo cual </w:t>
      </w:r>
      <w:r w:rsidRPr="00EE7063">
        <w:rPr>
          <w:rFonts w:ascii="Palatino Linotype" w:hAnsi="Palatino Linotype"/>
          <w:color w:val="000000"/>
          <w:lang w:eastAsia="es-MX"/>
        </w:rPr>
        <w:t>de conformidad con el artículo 190, ordena se de vista al Titular de la Contraloría Interna y Órgano de Control y Vigilancia de este Instituto a fin de que en ejercicio de sus funciones determine lo conducente.</w:t>
      </w:r>
    </w:p>
    <w:p w14:paraId="3CE85133" w14:textId="55E0AF2F" w:rsidR="00FD6737" w:rsidRPr="00EE7063" w:rsidRDefault="00FD6737" w:rsidP="00FD6737">
      <w:pPr>
        <w:spacing w:before="100" w:beforeAutospacing="1" w:after="100" w:afterAutospacing="1" w:line="360" w:lineRule="auto"/>
        <w:ind w:right="-425"/>
        <w:jc w:val="both"/>
        <w:rPr>
          <w:rFonts w:ascii="Palatino Linotype" w:hAnsi="Palatino Linotype"/>
          <w:b/>
          <w:color w:val="000000"/>
        </w:rPr>
      </w:pPr>
      <w:r w:rsidRPr="00EE7063">
        <w:rPr>
          <w:rFonts w:ascii="Palatino Linotype" w:hAnsi="Palatino Linotype"/>
          <w:b/>
          <w:color w:val="000000"/>
        </w:rPr>
        <w:t>Q</w:t>
      </w:r>
      <w:r w:rsidR="00467C07" w:rsidRPr="00EE7063">
        <w:rPr>
          <w:rFonts w:ascii="Palatino Linotype" w:hAnsi="Palatino Linotype"/>
          <w:b/>
          <w:color w:val="000000"/>
        </w:rPr>
        <w:t>uinto</w:t>
      </w:r>
      <w:r w:rsidRPr="00EE7063">
        <w:rPr>
          <w:rFonts w:ascii="Palatino Linotype" w:hAnsi="Palatino Linotype"/>
          <w:b/>
          <w:color w:val="000000"/>
        </w:rPr>
        <w:t>. Versión Pública.</w:t>
      </w:r>
      <w:r w:rsidRPr="00EE7063">
        <w:rPr>
          <w:rFonts w:ascii="Palatino Linotype" w:hAnsi="Palatino Linotype" w:cs="Arial"/>
          <w:bCs/>
        </w:rPr>
        <w:t xml:space="preserve"> Respecto de los documentos que se ordena su entrega, </w:t>
      </w:r>
      <w:r w:rsidRPr="00EE7063">
        <w:rPr>
          <w:rFonts w:ascii="Palatino Linotype" w:hAnsi="Palatino Linotype" w:cs="Arial"/>
        </w:rPr>
        <w:t xml:space="preserve">resulta oportuno observar lo dispuesto en los artículos 3, fracciones IX, XX, XXI y XLV; 4, 51, 91, 137 y 143, de la Ley de Transparencia y Acceso a la Información Pública del Estado de </w:t>
      </w:r>
      <w:r w:rsidRPr="00EE7063">
        <w:rPr>
          <w:rFonts w:ascii="Palatino Linotype" w:hAnsi="Palatino Linotype" w:cs="Arial"/>
        </w:rPr>
        <w:lastRenderedPageBreak/>
        <w:t>México y Municipios, de los cuales se desprende que el derecho de acceso a la información pública tiene como limitante el respeto a la intimidad y a la vida privada de las personas, por lo que la entrega de la información, al contener datos personales, deberá realizar una versión pública en la que se suprima aquella información relacionada con la vida privada de los particulares y de los servidores públicos.</w:t>
      </w:r>
    </w:p>
    <w:p w14:paraId="377FDE2E" w14:textId="77777777" w:rsidR="00FD6737" w:rsidRPr="00EE7063" w:rsidRDefault="00FD6737" w:rsidP="00FD6737">
      <w:pPr>
        <w:spacing w:before="100" w:beforeAutospacing="1" w:after="100" w:afterAutospacing="1" w:line="360" w:lineRule="auto"/>
        <w:ind w:right="-425"/>
        <w:jc w:val="both"/>
        <w:rPr>
          <w:rFonts w:ascii="Palatino Linotype" w:hAnsi="Palatino Linotype" w:cs="Arial"/>
        </w:rPr>
      </w:pPr>
      <w:r w:rsidRPr="00EE7063">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F7B5D95" w14:textId="77777777" w:rsidR="00FD6737" w:rsidRPr="00EE7063" w:rsidRDefault="00FD6737" w:rsidP="00FD6737">
      <w:pPr>
        <w:spacing w:before="100" w:beforeAutospacing="1" w:after="100" w:afterAutospacing="1" w:line="360" w:lineRule="auto"/>
        <w:ind w:right="-425"/>
        <w:jc w:val="both"/>
        <w:rPr>
          <w:rFonts w:ascii="Palatino Linotype" w:hAnsi="Palatino Linotype" w:cs="Arial"/>
        </w:rPr>
      </w:pPr>
      <w:r w:rsidRPr="00EE7063">
        <w:rPr>
          <w:rFonts w:ascii="Palatino Linotype" w:hAnsi="Palatino Linotype" w:cs="Arial"/>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C1F2EB" w14:textId="77777777" w:rsidR="00FD6737" w:rsidRPr="00EE7063" w:rsidRDefault="00FD6737" w:rsidP="00FD6737">
      <w:pPr>
        <w:spacing w:before="100" w:beforeAutospacing="1" w:after="100" w:afterAutospacing="1" w:line="360" w:lineRule="auto"/>
        <w:ind w:right="-425"/>
        <w:jc w:val="both"/>
        <w:rPr>
          <w:rFonts w:ascii="Palatino Linotype" w:hAnsi="Palatino Linotype" w:cs="Arial"/>
        </w:rPr>
      </w:pPr>
      <w:r w:rsidRPr="00EE7063">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y la Clave Única de Registro de Población (CURP).</w:t>
      </w:r>
    </w:p>
    <w:p w14:paraId="7D9120BF" w14:textId="77777777" w:rsidR="00FD6737" w:rsidRPr="00EE7063" w:rsidRDefault="00FD6737" w:rsidP="00FD6737">
      <w:pPr>
        <w:autoSpaceDE w:val="0"/>
        <w:autoSpaceDN w:val="0"/>
        <w:adjustRightInd w:val="0"/>
        <w:spacing w:before="100" w:beforeAutospacing="1" w:after="100" w:afterAutospacing="1" w:line="360" w:lineRule="auto"/>
        <w:ind w:right="-425"/>
        <w:jc w:val="both"/>
        <w:rPr>
          <w:rFonts w:ascii="Palatino Linotype" w:hAnsi="Palatino Linotype" w:cs="Arial"/>
        </w:rPr>
      </w:pPr>
      <w:r w:rsidRPr="00EE7063">
        <w:rPr>
          <w:rFonts w:ascii="Palatino Linotype" w:hAnsi="Palatino Linotype" w:cs="Arial"/>
          <w:lang w:eastAsia="es-MX"/>
        </w:rPr>
        <w:lastRenderedPageBreak/>
        <w:t>En cuanto al RFC, este constituye un dato personal, ya que para su obtención es necesario acreditar ante la autoridad fiscal previamente la identidad de la persona, su fecha de nacimiento, entre otros aspectos.</w:t>
      </w:r>
    </w:p>
    <w:p w14:paraId="43A2377F" w14:textId="77777777" w:rsidR="00FD6737" w:rsidRPr="00EE7063" w:rsidRDefault="00FD6737" w:rsidP="00FD6737">
      <w:pPr>
        <w:spacing w:before="100" w:beforeAutospacing="1" w:after="100" w:afterAutospacing="1" w:line="360" w:lineRule="auto"/>
        <w:ind w:right="-425"/>
        <w:jc w:val="both"/>
        <w:rPr>
          <w:rFonts w:ascii="Palatino Linotype" w:hAnsi="Palatino Linotype" w:cs="Arial"/>
          <w:lang w:eastAsia="es-MX"/>
        </w:rPr>
      </w:pPr>
      <w:r w:rsidRPr="00EE7063">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C1DC49B" w14:textId="77777777" w:rsidR="003E7FB4" w:rsidRPr="00EE7063" w:rsidRDefault="00FD6737" w:rsidP="003E7FB4">
      <w:pPr>
        <w:spacing w:before="240" w:after="240" w:line="360" w:lineRule="auto"/>
        <w:jc w:val="both"/>
        <w:rPr>
          <w:rFonts w:ascii="Palatino Linotype" w:hAnsi="Palatino Linotype" w:cs="Arial"/>
          <w:lang w:eastAsia="es-MX"/>
        </w:rPr>
      </w:pPr>
      <w:r w:rsidRPr="00EE7063">
        <w:rPr>
          <w:rFonts w:ascii="Palatino Linotype" w:hAnsi="Palatino Linotype" w:cs="Arial"/>
          <w:lang w:eastAsia="es-MX"/>
        </w:rPr>
        <w:t xml:space="preserve">Lo anterior es compartido </w:t>
      </w:r>
      <w:r w:rsidR="003E7FB4" w:rsidRPr="00EE7063">
        <w:rPr>
          <w:rFonts w:ascii="Palatino Linotype" w:hAnsi="Palatino Linotype" w:cs="Arial"/>
        </w:rPr>
        <w:t>el Pleno del Instituto Nacional de Transparencia, Acceso a la Información</w:t>
      </w:r>
      <w:r w:rsidR="003E7FB4" w:rsidRPr="00EE7063">
        <w:rPr>
          <w:rFonts w:ascii="Palatino Linotype" w:hAnsi="Palatino Linotype" w:cs="Arial"/>
          <w:lang w:eastAsia="es-MX"/>
        </w:rPr>
        <w:t xml:space="preserve"> Pública y Protección de Datos Personales (INAI) se ha pronunciado a través del Criterio 19/17, señalando que constituye información confidencial de acuerdo con lo siguiente:</w:t>
      </w:r>
    </w:p>
    <w:p w14:paraId="4D0C5BA1"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
          <w:b/>
          <w:bCs/>
          <w:i/>
          <w:sz w:val="22"/>
        </w:rPr>
        <w:t xml:space="preserve"> </w:t>
      </w:r>
      <w:r w:rsidRPr="00EE7063">
        <w:rPr>
          <w:rFonts w:ascii="Palatino Linotype" w:hAnsi="Palatino Linotype" w:cs="Arial,Bold"/>
          <w:b/>
          <w:bCs/>
          <w:i/>
          <w:sz w:val="22"/>
          <w:lang w:eastAsia="es-MX"/>
        </w:rPr>
        <w:t xml:space="preserve">“Registro Federal de Contribuyentes (RFC) de personas físicas. </w:t>
      </w:r>
      <w:r w:rsidRPr="00EE7063">
        <w:rPr>
          <w:rFonts w:ascii="Palatino Linotype" w:hAnsi="Palatino Linotype" w:cs="Arial,Bold"/>
          <w:bCs/>
          <w:i/>
          <w:sz w:val="22"/>
          <w:lang w:eastAsia="es-MX"/>
        </w:rPr>
        <w:t>El RFC es una clave de carácter fiscal, única e irrepetible, que permite identificar al titular, su edad y fecha de nacimiento, por lo que es un dato personal de carácter confidencial.</w:t>
      </w:r>
    </w:p>
    <w:p w14:paraId="6E2409ED"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Resoluciones:</w:t>
      </w:r>
    </w:p>
    <w:p w14:paraId="779DAC26"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RRA 0189/17. Morena. 08 de febrero de 2017. Por unanimidad. Comisionado Ponente Joel Salas Suárez.</w:t>
      </w:r>
    </w:p>
    <w:p w14:paraId="76E23319"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 xml:space="preserve">RRA 0677/17. Universidad Nacional Autónoma de México. 08 de marzo de 2017. Por unanimidad. Comisionado Ponente Rosendoevgueni Monterrey Chepov. </w:t>
      </w:r>
    </w:p>
    <w:p w14:paraId="5ECF4BAD" w14:textId="77777777" w:rsidR="003E7FB4" w:rsidRPr="00EE7063" w:rsidRDefault="003E7FB4" w:rsidP="003E7FB4">
      <w:pPr>
        <w:spacing w:before="240" w:after="240"/>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EE7063">
        <w:rPr>
          <w:rFonts w:ascii="Palatino Linotype" w:hAnsi="Palatino Linotype" w:cs="Arial,Bold"/>
          <w:b/>
          <w:bCs/>
          <w:i/>
          <w:sz w:val="22"/>
          <w:lang w:eastAsia="es-MX"/>
        </w:rPr>
        <w:t>.”</w:t>
      </w:r>
    </w:p>
    <w:p w14:paraId="7190058A" w14:textId="41942A0B" w:rsidR="00FD6737" w:rsidRPr="00EE7063" w:rsidRDefault="00FD6737" w:rsidP="003E7FB4">
      <w:pPr>
        <w:spacing w:before="100" w:beforeAutospacing="1" w:after="100" w:afterAutospacing="1" w:line="360" w:lineRule="auto"/>
        <w:ind w:right="-425"/>
        <w:jc w:val="both"/>
        <w:rPr>
          <w:rFonts w:ascii="Palatino Linotype" w:hAnsi="Palatino Linotype" w:cs="Arial"/>
          <w:lang w:eastAsia="es-MX"/>
        </w:rPr>
      </w:pPr>
      <w:r w:rsidRPr="00EE7063">
        <w:rPr>
          <w:rFonts w:ascii="Palatino Linotype" w:hAnsi="Palatino Linotype" w:cs="Arial"/>
          <w:lang w:eastAsia="es-MX"/>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w:t>
      </w:r>
      <w:r w:rsidRPr="00EE7063">
        <w:rPr>
          <w:rFonts w:ascii="Palatino Linotype" w:hAnsi="Palatino Linotype" w:cs="Arial"/>
          <w:lang w:eastAsia="es-MX"/>
        </w:rPr>
        <w:lastRenderedPageBreak/>
        <w:t>los artículos 3, fracción IX de la Ley de Transparencia y Acceso a la Información Pública del Estado de México y Municipios.</w:t>
      </w:r>
    </w:p>
    <w:p w14:paraId="3D316E54" w14:textId="77777777" w:rsidR="00FD6737" w:rsidRPr="00EE7063" w:rsidRDefault="00FD6737" w:rsidP="00FD6737">
      <w:pPr>
        <w:spacing w:before="100" w:beforeAutospacing="1" w:after="100" w:afterAutospacing="1" w:line="360" w:lineRule="auto"/>
        <w:ind w:right="-425"/>
        <w:jc w:val="both"/>
        <w:rPr>
          <w:rFonts w:ascii="Palatino Linotype" w:hAnsi="Palatino Linotype" w:cs="Arial"/>
          <w:lang w:val="es-MX" w:eastAsia="es-MX"/>
        </w:rPr>
      </w:pPr>
      <w:r w:rsidRPr="00EE7063">
        <w:rPr>
          <w:rFonts w:ascii="Palatino Linotype" w:hAnsi="Palatino Linotype" w:cs="Arial"/>
          <w:lang w:val="es-MX" w:eastAsia="es-MX"/>
        </w:rPr>
        <w:t xml:space="preserve">En cuanto al </w:t>
      </w:r>
      <w:r w:rsidRPr="00EE7063">
        <w:rPr>
          <w:rFonts w:ascii="Palatino Linotype" w:hAnsi="Palatino Linotype" w:cs="Arial"/>
          <w:lang w:val="es-MX"/>
        </w:rPr>
        <w:t xml:space="preserve">CURP, en virtud de que éste se </w:t>
      </w:r>
      <w:r w:rsidRPr="00EE7063">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F7A8FC8" w14:textId="77777777" w:rsidR="003E7FB4" w:rsidRPr="00EE7063" w:rsidRDefault="00FD6737" w:rsidP="003E7FB4">
      <w:pPr>
        <w:spacing w:line="360" w:lineRule="auto"/>
        <w:ind w:right="-91"/>
        <w:jc w:val="both"/>
        <w:rPr>
          <w:rFonts w:ascii="Palatino Linotype" w:hAnsi="Palatino Linotype" w:cs="Arial"/>
          <w:lang w:eastAsia="es-MX"/>
        </w:rPr>
      </w:pPr>
      <w:r w:rsidRPr="00EE7063">
        <w:rPr>
          <w:rFonts w:ascii="Palatino Linotype" w:hAnsi="Palatino Linotype" w:cs="Arial"/>
        </w:rPr>
        <w:t xml:space="preserve">Argumento que es compartido por el </w:t>
      </w:r>
      <w:r w:rsidR="003E7FB4" w:rsidRPr="00EE7063">
        <w:rPr>
          <w:rFonts w:ascii="Palatino Linotype" w:hAnsi="Palatino Linotype" w:cs="Arial"/>
          <w:lang w:eastAsia="es-MX"/>
        </w:rPr>
        <w:t>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5BEABADB" w14:textId="77777777" w:rsidR="003E7FB4" w:rsidRPr="00EE7063" w:rsidRDefault="003E7FB4" w:rsidP="003E7FB4">
      <w:pPr>
        <w:ind w:left="709" w:right="709"/>
        <w:jc w:val="both"/>
        <w:rPr>
          <w:rFonts w:ascii="Palatino Linotype" w:hAnsi="Palatino Linotype" w:cs="Arial,Bold"/>
          <w:b/>
          <w:bCs/>
          <w:i/>
          <w:sz w:val="22"/>
          <w:lang w:eastAsia="es-MX"/>
        </w:rPr>
      </w:pPr>
      <w:r w:rsidRPr="00EE7063">
        <w:rPr>
          <w:rFonts w:ascii="Palatino Linotype" w:hAnsi="Palatino Linotype" w:cs="Arial,Bold"/>
          <w:b/>
          <w:bCs/>
          <w:i/>
          <w:sz w:val="22"/>
          <w:lang w:eastAsia="es-MX"/>
        </w:rPr>
        <w:t xml:space="preserve">“Clave Única de Registro de Población (CURP). </w:t>
      </w:r>
      <w:r w:rsidRPr="00EE7063">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70F3D2C"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Resoluciones:</w:t>
      </w:r>
    </w:p>
    <w:p w14:paraId="7EAAA41C"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RRA 3995/16. Secretaría de la Defensa Nacional. 1 de febrero de 2017. Por unanimidad. Comisionado Ponente Rosendoevgueni Monterrey Chepov.</w:t>
      </w:r>
    </w:p>
    <w:p w14:paraId="7366D249"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 xml:space="preserve">RRA 0937/17. Senado de la República. 15 de marzo de 2017. Por unanimidad. Comisionada Ponente Ximena Puente de la Mora. </w:t>
      </w:r>
    </w:p>
    <w:p w14:paraId="4A9E2E22" w14:textId="77777777" w:rsidR="003E7FB4" w:rsidRPr="00EE7063" w:rsidRDefault="003E7FB4" w:rsidP="003E7FB4">
      <w:pPr>
        <w:ind w:left="709" w:right="709"/>
        <w:jc w:val="both"/>
        <w:rPr>
          <w:rFonts w:ascii="Palatino Linotype" w:hAnsi="Palatino Linotype" w:cs="Arial,Bold"/>
          <w:bCs/>
          <w:i/>
          <w:sz w:val="22"/>
          <w:lang w:eastAsia="es-MX"/>
        </w:rPr>
      </w:pPr>
      <w:r w:rsidRPr="00EE7063">
        <w:rPr>
          <w:rFonts w:ascii="Palatino Linotype" w:hAnsi="Palatino Linotype" w:cs="Arial,Bold"/>
          <w:bCs/>
          <w:i/>
          <w:sz w:val="22"/>
          <w:lang w:eastAsia="es-MX"/>
        </w:rPr>
        <w:t>RRA 0478/17. Secretaría de Relaciones Exteriores. 26 de abril de 2017. Por unanimidad. Comisionada Ponente Areli Cano Guadiana.”</w:t>
      </w:r>
    </w:p>
    <w:p w14:paraId="42D6CA41" w14:textId="16791DD7" w:rsidR="00FD6737" w:rsidRPr="00EE7063" w:rsidRDefault="00FD6737" w:rsidP="003E7FB4">
      <w:pPr>
        <w:spacing w:before="100" w:beforeAutospacing="1" w:after="100" w:afterAutospacing="1" w:line="360" w:lineRule="auto"/>
        <w:ind w:right="-425"/>
        <w:jc w:val="both"/>
        <w:rPr>
          <w:rFonts w:ascii="Palatino Linotype" w:hAnsi="Palatino Linotype" w:cs="Arial"/>
        </w:rPr>
      </w:pPr>
      <w:r w:rsidRPr="00EE7063">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7F74F31" w14:textId="74BC7B14" w:rsidR="00EB0136" w:rsidRPr="00EE7063" w:rsidRDefault="00652DED" w:rsidP="009A65F3">
      <w:pPr>
        <w:spacing w:before="240" w:after="240" w:line="360" w:lineRule="auto"/>
        <w:jc w:val="both"/>
        <w:rPr>
          <w:rFonts w:ascii="Palatino Linotype" w:hAnsi="Palatino Linotype" w:cs="Arial"/>
        </w:rPr>
      </w:pPr>
      <w:r w:rsidRPr="00EE7063">
        <w:rPr>
          <w:rFonts w:ascii="Palatino Linotype" w:hAnsi="Palatino Linotype" w:cs="Arial"/>
        </w:rPr>
        <w:lastRenderedPageBreak/>
        <w:t xml:space="preserve">Así, con fundamento en lo prescrito en los artículos 5 párrafos </w:t>
      </w:r>
      <w:r w:rsidR="00E4225E" w:rsidRPr="00EE7063">
        <w:rPr>
          <w:rFonts w:ascii="Palatino Linotype" w:hAnsi="Palatino Linotype" w:cs="Arial"/>
        </w:rPr>
        <w:t xml:space="preserve">vigésimo, vigésimo </w:t>
      </w:r>
      <w:r w:rsidR="00613D0E" w:rsidRPr="00EE7063">
        <w:rPr>
          <w:rFonts w:ascii="Palatino Linotype" w:hAnsi="Palatino Linotype" w:cs="Arial"/>
        </w:rPr>
        <w:t>primero</w:t>
      </w:r>
      <w:r w:rsidRPr="00EE7063">
        <w:rPr>
          <w:rFonts w:ascii="Palatino Linotype" w:hAnsi="Palatino Linotype" w:cs="Arial"/>
        </w:rPr>
        <w:t xml:space="preserve"> y </w:t>
      </w:r>
      <w:r w:rsidR="00613D0E" w:rsidRPr="00EE7063">
        <w:rPr>
          <w:rFonts w:ascii="Palatino Linotype" w:hAnsi="Palatino Linotype" w:cs="Arial"/>
        </w:rPr>
        <w:t>vigésimo segundo</w:t>
      </w:r>
      <w:r w:rsidRPr="00EE7063">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58F9005B" w14:textId="6B8F8B90" w:rsidR="00DA0ACA" w:rsidRPr="00EE7063" w:rsidRDefault="009E5A7D" w:rsidP="006315D4">
      <w:pPr>
        <w:pStyle w:val="Prrafodelista"/>
        <w:numPr>
          <w:ilvl w:val="0"/>
          <w:numId w:val="13"/>
        </w:numPr>
        <w:spacing w:before="240" w:after="240" w:line="360" w:lineRule="auto"/>
        <w:contextualSpacing/>
        <w:jc w:val="center"/>
        <w:rPr>
          <w:rFonts w:ascii="Palatino Linotype" w:hAnsi="Palatino Linotype" w:cs="Arial"/>
          <w:b/>
        </w:rPr>
      </w:pPr>
      <w:r w:rsidRPr="00EE7063">
        <w:rPr>
          <w:rFonts w:ascii="Palatino Linotype" w:hAnsi="Palatino Linotype" w:cs="Arial"/>
          <w:b/>
        </w:rPr>
        <w:t>R E S U E L V E:</w:t>
      </w:r>
      <w:r w:rsidR="00DA0ACA" w:rsidRPr="00EE7063">
        <w:rPr>
          <w:rFonts w:ascii="Palatino Linotype" w:hAnsi="Palatino Linotype" w:cs="Arial"/>
          <w:strike/>
        </w:rPr>
        <w:t xml:space="preserve"> </w:t>
      </w:r>
    </w:p>
    <w:p w14:paraId="65B4EEA8" w14:textId="1DCF9257" w:rsidR="006315D4" w:rsidRPr="00EE7063" w:rsidRDefault="006315D4" w:rsidP="00DA0ACA">
      <w:pPr>
        <w:spacing w:before="240" w:after="240" w:line="360" w:lineRule="auto"/>
        <w:jc w:val="both"/>
        <w:rPr>
          <w:rFonts w:ascii="Palatino Linotype" w:hAnsi="Palatino Linotype" w:cs="Arial"/>
          <w:strike/>
        </w:rPr>
      </w:pPr>
      <w:r w:rsidRPr="00EE7063">
        <w:rPr>
          <w:rFonts w:ascii="Palatino Linotype" w:hAnsi="Palatino Linotype" w:cs="Arial"/>
          <w:b/>
        </w:rPr>
        <w:t xml:space="preserve">Primero. </w:t>
      </w:r>
      <w:r w:rsidRPr="00EE7063">
        <w:rPr>
          <w:rFonts w:ascii="Palatino Linotype" w:hAnsi="Palatino Linotype" w:cs="Arial"/>
        </w:rPr>
        <w:t>Son fundados los motivos de inconformidad aducidos por e</w:t>
      </w:r>
      <w:r w:rsidRPr="00EE7063">
        <w:rPr>
          <w:rFonts w:ascii="Palatino Linotype" w:hAnsi="Palatino Linotype" w:cs="Arial"/>
          <w:b/>
        </w:rPr>
        <w:t>l recurrente</w:t>
      </w:r>
      <w:r w:rsidRPr="00EE7063">
        <w:rPr>
          <w:rFonts w:ascii="Palatino Linotype" w:hAnsi="Palatino Linotype" w:cs="Arial"/>
        </w:rPr>
        <w:t>, en términos de los argumentos de derecho señalados en el Considerando Cuarto.</w:t>
      </w:r>
    </w:p>
    <w:p w14:paraId="638F8849" w14:textId="3D25F773" w:rsidR="00DA0ACA" w:rsidRPr="00EE7063" w:rsidRDefault="00DA0ACA" w:rsidP="00DA0ACA">
      <w:pPr>
        <w:spacing w:after="240" w:line="360" w:lineRule="auto"/>
        <w:jc w:val="both"/>
        <w:rPr>
          <w:rFonts w:ascii="Palatino Linotype" w:hAnsi="Palatino Linotype" w:cs="Arial"/>
          <w:bCs/>
          <w:shd w:val="clear" w:color="auto" w:fill="FFFFFF"/>
        </w:rPr>
      </w:pPr>
      <w:r w:rsidRPr="00EE7063">
        <w:rPr>
          <w:rFonts w:ascii="Palatino Linotype" w:hAnsi="Palatino Linotype" w:cs="Arial"/>
          <w:b/>
          <w:bCs/>
          <w:shd w:val="clear" w:color="auto" w:fill="FFFFFF"/>
        </w:rPr>
        <w:t xml:space="preserve">Segundo. </w:t>
      </w:r>
      <w:r w:rsidRPr="00EE7063">
        <w:rPr>
          <w:rFonts w:ascii="Palatino Linotype" w:hAnsi="Palatino Linotype" w:cs="Arial"/>
          <w:bCs/>
          <w:shd w:val="clear" w:color="auto" w:fill="FFFFFF"/>
        </w:rPr>
        <w:t>Se</w:t>
      </w:r>
      <w:r w:rsidRPr="00EE7063">
        <w:rPr>
          <w:rFonts w:ascii="Palatino Linotype" w:hAnsi="Palatino Linotype" w:cs="Arial"/>
          <w:b/>
          <w:bCs/>
          <w:shd w:val="clear" w:color="auto" w:fill="FFFFFF"/>
        </w:rPr>
        <w:t xml:space="preserve"> ORDENA </w:t>
      </w:r>
      <w:r w:rsidRPr="00EE7063">
        <w:rPr>
          <w:rFonts w:ascii="Palatino Linotype" w:hAnsi="Palatino Linotype" w:cs="Arial"/>
          <w:bCs/>
          <w:shd w:val="clear" w:color="auto" w:fill="FFFFFF"/>
        </w:rPr>
        <w:t>al</w:t>
      </w:r>
      <w:r w:rsidRPr="00EE7063">
        <w:rPr>
          <w:rFonts w:ascii="Palatino Linotype" w:hAnsi="Palatino Linotype" w:cs="Arial"/>
          <w:b/>
          <w:bCs/>
          <w:shd w:val="clear" w:color="auto" w:fill="FFFFFF"/>
        </w:rPr>
        <w:t xml:space="preserve"> Sujeto Obligado </w:t>
      </w:r>
      <w:r w:rsidRPr="00EE7063">
        <w:rPr>
          <w:rFonts w:ascii="Palatino Linotype" w:hAnsi="Palatino Linotype" w:cs="Arial"/>
          <w:bCs/>
          <w:shd w:val="clear" w:color="auto" w:fill="FFFFFF"/>
        </w:rPr>
        <w:t>que en términos de</w:t>
      </w:r>
      <w:r w:rsidR="001A6692" w:rsidRPr="00EE7063">
        <w:rPr>
          <w:rFonts w:ascii="Palatino Linotype" w:hAnsi="Palatino Linotype" w:cs="Arial"/>
          <w:bCs/>
          <w:shd w:val="clear" w:color="auto" w:fill="FFFFFF"/>
        </w:rPr>
        <w:t xml:space="preserve"> </w:t>
      </w:r>
      <w:r w:rsidRPr="00EE7063">
        <w:rPr>
          <w:rFonts w:ascii="Palatino Linotype" w:hAnsi="Palatino Linotype" w:cs="Arial"/>
          <w:bCs/>
          <w:shd w:val="clear" w:color="auto" w:fill="FFFFFF"/>
        </w:rPr>
        <w:t>l</w:t>
      </w:r>
      <w:r w:rsidR="001A6692" w:rsidRPr="00EE7063">
        <w:rPr>
          <w:rFonts w:ascii="Palatino Linotype" w:hAnsi="Palatino Linotype" w:cs="Arial"/>
          <w:bCs/>
          <w:shd w:val="clear" w:color="auto" w:fill="FFFFFF"/>
        </w:rPr>
        <w:t>os</w:t>
      </w:r>
      <w:r w:rsidRPr="00EE7063">
        <w:rPr>
          <w:rFonts w:ascii="Palatino Linotype" w:hAnsi="Palatino Linotype" w:cs="Arial"/>
          <w:bCs/>
          <w:shd w:val="clear" w:color="auto" w:fill="FFFFFF"/>
        </w:rPr>
        <w:t xml:space="preserve"> Considerando</w:t>
      </w:r>
      <w:r w:rsidR="001A6692" w:rsidRPr="00EE7063">
        <w:rPr>
          <w:rFonts w:ascii="Palatino Linotype" w:hAnsi="Palatino Linotype" w:cs="Arial"/>
          <w:bCs/>
          <w:shd w:val="clear" w:color="auto" w:fill="FFFFFF"/>
        </w:rPr>
        <w:t>s</w:t>
      </w:r>
      <w:r w:rsidRPr="00EE7063">
        <w:rPr>
          <w:rFonts w:ascii="Palatino Linotype" w:hAnsi="Palatino Linotype" w:cs="Arial"/>
          <w:bCs/>
          <w:shd w:val="clear" w:color="auto" w:fill="FFFFFF"/>
        </w:rPr>
        <w:t xml:space="preserve"> Cuarto</w:t>
      </w:r>
      <w:r w:rsidR="005633AD" w:rsidRPr="00EE7063">
        <w:rPr>
          <w:rFonts w:ascii="Palatino Linotype" w:hAnsi="Palatino Linotype" w:cs="Arial"/>
          <w:bCs/>
          <w:shd w:val="clear" w:color="auto" w:fill="FFFFFF"/>
        </w:rPr>
        <w:t xml:space="preserve"> </w:t>
      </w:r>
      <w:r w:rsidR="001A6692" w:rsidRPr="00EE7063">
        <w:rPr>
          <w:rFonts w:ascii="Palatino Linotype" w:hAnsi="Palatino Linotype" w:cs="Arial"/>
          <w:bCs/>
          <w:shd w:val="clear" w:color="auto" w:fill="FFFFFF"/>
        </w:rPr>
        <w:t xml:space="preserve">y Quinto </w:t>
      </w:r>
      <w:r w:rsidRPr="00EE7063">
        <w:rPr>
          <w:rFonts w:ascii="Palatino Linotype" w:hAnsi="Palatino Linotype" w:cs="Arial"/>
          <w:bCs/>
          <w:shd w:val="clear" w:color="auto" w:fill="FFFFFF"/>
        </w:rPr>
        <w:t>de esta resolución, haga entrega vía SAIMEX</w:t>
      </w:r>
      <w:r w:rsidR="00FD6737" w:rsidRPr="00EE7063">
        <w:rPr>
          <w:rFonts w:ascii="Palatino Linotype" w:hAnsi="Palatino Linotype" w:cs="Arial"/>
          <w:bCs/>
          <w:shd w:val="clear" w:color="auto" w:fill="FFFFFF"/>
        </w:rPr>
        <w:t>, en versión pública de ser procedente,</w:t>
      </w:r>
      <w:r w:rsidR="005633AD" w:rsidRPr="00EE7063">
        <w:rPr>
          <w:rFonts w:ascii="Palatino Linotype" w:hAnsi="Palatino Linotype" w:cs="Arial"/>
          <w:bCs/>
          <w:shd w:val="clear" w:color="auto" w:fill="FFFFFF"/>
        </w:rPr>
        <w:t xml:space="preserve"> </w:t>
      </w:r>
      <w:r w:rsidRPr="00EE7063">
        <w:rPr>
          <w:rFonts w:ascii="Palatino Linotype" w:hAnsi="Palatino Linotype" w:cs="Arial"/>
          <w:bCs/>
          <w:shd w:val="clear" w:color="auto" w:fill="FFFFFF"/>
        </w:rPr>
        <w:t>lo siguiente:</w:t>
      </w:r>
    </w:p>
    <w:p w14:paraId="146C4192" w14:textId="09E301F8" w:rsidR="00DA0ACA" w:rsidRPr="00EE7063" w:rsidRDefault="00121C77" w:rsidP="00553576">
      <w:pPr>
        <w:pStyle w:val="Prrafodelista"/>
        <w:numPr>
          <w:ilvl w:val="0"/>
          <w:numId w:val="10"/>
        </w:numPr>
        <w:spacing w:after="240" w:line="360" w:lineRule="auto"/>
        <w:jc w:val="both"/>
        <w:rPr>
          <w:rFonts w:ascii="Palatino Linotype" w:hAnsi="Palatino Linotype" w:cs="Arial"/>
          <w:bCs/>
          <w:shd w:val="clear" w:color="auto" w:fill="FFFFFF"/>
        </w:rPr>
      </w:pPr>
      <w:r w:rsidRPr="00EE7063">
        <w:rPr>
          <w:rFonts w:ascii="Palatino Linotype" w:hAnsi="Palatino Linotype" w:cs="Arial"/>
        </w:rPr>
        <w:t>El escrito de interposición de la controversia constitucional, promovida ante la Suprema Corte de la Justicia de la Nación</w:t>
      </w:r>
      <w:r w:rsidR="00D160C1" w:rsidRPr="00EE7063">
        <w:rPr>
          <w:rFonts w:ascii="Palatino Linotype" w:hAnsi="Palatino Linotype" w:cs="Arial"/>
        </w:rPr>
        <w:t>,</w:t>
      </w:r>
      <w:r w:rsidRPr="00EE7063">
        <w:rPr>
          <w:rFonts w:ascii="Palatino Linotype" w:hAnsi="Palatino Linotype" w:cs="Arial"/>
        </w:rPr>
        <w:t xml:space="preserve"> en contra de la Ley de Seguridad Interior.</w:t>
      </w:r>
    </w:p>
    <w:p w14:paraId="603DA152" w14:textId="5F7D5D48" w:rsidR="005633AD" w:rsidRPr="00EE7063" w:rsidRDefault="00875EE5" w:rsidP="005633AD">
      <w:pPr>
        <w:spacing w:before="240" w:after="240" w:line="360" w:lineRule="auto"/>
        <w:ind w:left="360"/>
        <w:jc w:val="both"/>
        <w:rPr>
          <w:rFonts w:ascii="Palatino Linotype" w:hAnsi="Palatino Linotype"/>
          <w:color w:val="000000"/>
        </w:rPr>
      </w:pPr>
      <w:r w:rsidRPr="00EE7063">
        <w:rPr>
          <w:rFonts w:ascii="Palatino Linotype" w:hAnsi="Palatino Linotype"/>
        </w:rPr>
        <w:t xml:space="preserve">De ser el caso, que la información de la cual se ordena su entrega requiera ser entregada en versión pública, </w:t>
      </w:r>
      <w:r w:rsidR="005633AD" w:rsidRPr="00EE7063">
        <w:rPr>
          <w:rFonts w:ascii="Palatino Linotype" w:hAnsi="Palatino Linotype"/>
          <w:color w:val="000000"/>
        </w:rPr>
        <w:t>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106FFAEB" w14:textId="77777777" w:rsidR="00DA0ACA" w:rsidRPr="00EE7063" w:rsidRDefault="00DA0ACA" w:rsidP="00DA0ACA">
      <w:pPr>
        <w:spacing w:after="240" w:line="360" w:lineRule="auto"/>
        <w:jc w:val="both"/>
        <w:rPr>
          <w:rFonts w:ascii="Palatino Linotype" w:hAnsi="Palatino Linotype" w:cs="Arial"/>
          <w:b/>
        </w:rPr>
      </w:pPr>
      <w:r w:rsidRPr="00EE7063">
        <w:rPr>
          <w:rFonts w:ascii="Palatino Linotype" w:hAnsi="Palatino Linotype" w:cs="Arial"/>
          <w:b/>
          <w:bCs/>
          <w:shd w:val="clear" w:color="auto" w:fill="FFFFFF"/>
        </w:rPr>
        <w:t>Tercero. Remítase</w:t>
      </w:r>
      <w:r w:rsidRPr="00EE7063">
        <w:rPr>
          <w:rFonts w:ascii="Palatino Linotype" w:hAnsi="Palatino Linotype"/>
          <w:shd w:val="clear" w:color="auto" w:fill="FFFFFF"/>
        </w:rPr>
        <w:t xml:space="preserve"> al Responsable de la Unidad de Transparencia del</w:t>
      </w:r>
      <w:r w:rsidRPr="00EE7063">
        <w:rPr>
          <w:rStyle w:val="apple-converted-space"/>
          <w:rFonts w:ascii="Palatino Linotype" w:hAnsi="Palatino Linotype"/>
          <w:bCs/>
          <w:shd w:val="clear" w:color="auto" w:fill="FFFFFF"/>
        </w:rPr>
        <w:t> </w:t>
      </w:r>
      <w:r w:rsidRPr="00EE7063">
        <w:rPr>
          <w:rFonts w:ascii="Palatino Linotype" w:hAnsi="Palatino Linotype"/>
          <w:bCs/>
          <w:shd w:val="clear" w:color="auto" w:fill="FFFFFF"/>
        </w:rPr>
        <w:t xml:space="preserve">Sujeto Obligado </w:t>
      </w:r>
      <w:r w:rsidRPr="00EE7063">
        <w:rPr>
          <w:rStyle w:val="apple-converted-space"/>
          <w:rFonts w:ascii="Palatino Linotype" w:hAnsi="Palatino Linotype" w:cs="Arial"/>
          <w:b/>
          <w:bCs/>
          <w:i/>
          <w:iCs/>
          <w:shd w:val="clear" w:color="auto" w:fill="FFFFFF"/>
        </w:rPr>
        <w:t> </w:t>
      </w:r>
      <w:r w:rsidRPr="00EE7063">
        <w:rPr>
          <w:rStyle w:val="apple-converted-space"/>
          <w:rFonts w:ascii="Palatino Linotype" w:hAnsi="Palatino Linotype" w:cs="Arial"/>
          <w:bCs/>
          <w:iCs/>
          <w:shd w:val="clear" w:color="auto" w:fill="FFFFFF"/>
        </w:rPr>
        <w:t>la presente resolución</w:t>
      </w:r>
      <w:r w:rsidRPr="00EE7063">
        <w:rPr>
          <w:rFonts w:ascii="Palatino Linotype" w:hAnsi="Palatino Linotype"/>
          <w:shd w:val="clear" w:color="auto" w:fill="FFFFFF"/>
        </w:rPr>
        <w:t xml:space="preserve">, para que conforme a los artículo 186, último </w:t>
      </w:r>
      <w:r w:rsidRPr="00EE7063">
        <w:rPr>
          <w:rFonts w:ascii="Palatino Linotype" w:hAnsi="Palatino Linotype"/>
          <w:shd w:val="clear" w:color="auto" w:fill="FFFFFF"/>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88D08EC" w14:textId="73E63A7E" w:rsidR="00120FE3" w:rsidRPr="00EE7063" w:rsidRDefault="00120FE3" w:rsidP="00120FE3">
      <w:pPr>
        <w:spacing w:before="240" w:after="240" w:line="360" w:lineRule="auto"/>
        <w:jc w:val="both"/>
        <w:rPr>
          <w:rFonts w:ascii="Palatino Linotype" w:hAnsi="Palatino Linotype" w:cs="Arial"/>
          <w:b/>
        </w:rPr>
      </w:pPr>
      <w:r w:rsidRPr="00EE7063">
        <w:rPr>
          <w:rFonts w:ascii="Palatino Linotype" w:hAnsi="Palatino Linotype" w:cs="Arial"/>
          <w:b/>
        </w:rPr>
        <w:t xml:space="preserve">Cuarto.  </w:t>
      </w:r>
      <w:r w:rsidR="00FD6737" w:rsidRPr="00EE7063">
        <w:rPr>
          <w:rFonts w:ascii="Palatino Linotype" w:hAnsi="Palatino Linotype" w:cs="Arial"/>
          <w:b/>
        </w:rPr>
        <w:t>Hágase del conocimiento</w:t>
      </w:r>
      <w:r w:rsidR="00FD6737" w:rsidRPr="00EE7063">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59C4FE7" w14:textId="77777777" w:rsidR="00120FE3" w:rsidRPr="00EE7063" w:rsidRDefault="00120FE3" w:rsidP="00120FE3">
      <w:pPr>
        <w:spacing w:before="240" w:after="240" w:line="360" w:lineRule="auto"/>
        <w:jc w:val="both"/>
        <w:rPr>
          <w:rFonts w:ascii="Palatino Linotype" w:hAnsi="Palatino Linotype" w:cs="Arial"/>
          <w:b/>
          <w:sz w:val="28"/>
          <w:szCs w:val="28"/>
        </w:rPr>
      </w:pPr>
      <w:r w:rsidRPr="00EE7063">
        <w:rPr>
          <w:rFonts w:ascii="Palatino Linotype" w:hAnsi="Palatino Linotype" w:cs="Arial"/>
          <w:b/>
        </w:rPr>
        <w:t>Quinto. Gírese</w:t>
      </w:r>
      <w:r w:rsidRPr="00EE7063">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4702498" w14:textId="4476C351" w:rsidR="004C1450" w:rsidRPr="00EE7063" w:rsidRDefault="004C1450" w:rsidP="004C1450">
      <w:pPr>
        <w:spacing w:before="240" w:after="240" w:line="360" w:lineRule="auto"/>
        <w:jc w:val="both"/>
        <w:rPr>
          <w:rFonts w:ascii="Palatino Linotype" w:hAnsi="Palatino Linotype"/>
        </w:rPr>
      </w:pPr>
      <w:r w:rsidRPr="00EE7063">
        <w:rPr>
          <w:rFonts w:ascii="Palatino Linotype" w:hAnsi="Palatino Linotype"/>
        </w:rPr>
        <w:t xml:space="preserve">ASÍ LO RESUELVE, POR </w:t>
      </w:r>
      <w:r w:rsidR="00FA58BB" w:rsidRPr="00EE7063">
        <w:rPr>
          <w:rFonts w:ascii="Palatino Linotype" w:hAnsi="Palatino Linotype"/>
        </w:rPr>
        <w:t xml:space="preserve">UNANIMIDAD </w:t>
      </w:r>
      <w:r w:rsidRPr="00EE7063">
        <w:rPr>
          <w:rFonts w:ascii="Palatino Linotype" w:hAnsi="Palatino Linotype"/>
        </w:rPr>
        <w:t>DE VOTOS</w:t>
      </w:r>
      <w:r w:rsidR="00F460D4">
        <w:rPr>
          <w:rFonts w:ascii="Palatino Linotype" w:hAnsi="Palatino Linotype"/>
        </w:rPr>
        <w:t xml:space="preserve"> DE LOS PRESENTES</w:t>
      </w:r>
      <w:r w:rsidRPr="00EE7063">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7D4AA6">
        <w:rPr>
          <w:rFonts w:ascii="Palatino Linotype" w:hAnsi="Palatino Linotype"/>
        </w:rPr>
        <w:t>, A</w:t>
      </w:r>
      <w:r w:rsidR="00506B12">
        <w:rPr>
          <w:rFonts w:ascii="Palatino Linotype" w:hAnsi="Palatino Linotype"/>
        </w:rPr>
        <w:t>U</w:t>
      </w:r>
      <w:r w:rsidR="007D4AA6">
        <w:rPr>
          <w:rFonts w:ascii="Palatino Linotype" w:hAnsi="Palatino Linotype"/>
        </w:rPr>
        <w:t>SENTE EN LA VOTACIÓN</w:t>
      </w:r>
      <w:r w:rsidRPr="00EE7063">
        <w:rPr>
          <w:rFonts w:ascii="Palatino Linotype" w:hAnsi="Palatino Linotype"/>
        </w:rPr>
        <w:t>; EN LA</w:t>
      </w:r>
      <w:r w:rsidR="00FA58BB" w:rsidRPr="00EE7063">
        <w:rPr>
          <w:rFonts w:ascii="Palatino Linotype" w:hAnsi="Palatino Linotype"/>
        </w:rPr>
        <w:t xml:space="preserve"> </w:t>
      </w:r>
      <w:r w:rsidR="005C1891">
        <w:rPr>
          <w:rFonts w:ascii="Palatino Linotype" w:hAnsi="Palatino Linotype"/>
        </w:rPr>
        <w:t>TERCERA</w:t>
      </w:r>
      <w:r w:rsidR="00FA58BB" w:rsidRPr="00EE7063">
        <w:rPr>
          <w:rFonts w:ascii="Palatino Linotype" w:hAnsi="Palatino Linotype"/>
        </w:rPr>
        <w:t xml:space="preserve"> </w:t>
      </w:r>
      <w:r w:rsidRPr="00EE7063">
        <w:rPr>
          <w:rFonts w:ascii="Palatino Linotype" w:hAnsi="Palatino Linotype"/>
        </w:rPr>
        <w:t xml:space="preserve">SESIÓN ORDINARIA CELEBRADA EL </w:t>
      </w:r>
      <w:r w:rsidR="005C1891">
        <w:rPr>
          <w:rFonts w:ascii="Palatino Linotype" w:hAnsi="Palatino Linotype"/>
        </w:rPr>
        <w:t>VEINTITRÉS</w:t>
      </w:r>
      <w:r w:rsidR="00FA58BB" w:rsidRPr="00EE7063">
        <w:rPr>
          <w:rFonts w:ascii="Palatino Linotype" w:hAnsi="Palatino Linotype"/>
        </w:rPr>
        <w:t xml:space="preserve"> </w:t>
      </w:r>
      <w:r w:rsidRPr="00EE7063">
        <w:rPr>
          <w:rFonts w:ascii="Palatino Linotype" w:hAnsi="Palatino Linotype"/>
        </w:rPr>
        <w:t xml:space="preserve">DE </w:t>
      </w:r>
      <w:r w:rsidR="00FA58BB" w:rsidRPr="00EE7063">
        <w:rPr>
          <w:rFonts w:ascii="Palatino Linotype" w:hAnsi="Palatino Linotype"/>
        </w:rPr>
        <w:t>E</w:t>
      </w:r>
      <w:r w:rsidR="005C1891">
        <w:rPr>
          <w:rFonts w:ascii="Palatino Linotype" w:hAnsi="Palatino Linotype"/>
        </w:rPr>
        <w:t>NERO</w:t>
      </w:r>
      <w:r w:rsidR="00FA58BB" w:rsidRPr="00EE7063">
        <w:rPr>
          <w:rFonts w:ascii="Palatino Linotype" w:hAnsi="Palatino Linotype"/>
        </w:rPr>
        <w:t xml:space="preserve"> </w:t>
      </w:r>
      <w:r w:rsidRPr="00EE7063">
        <w:rPr>
          <w:rFonts w:ascii="Palatino Linotype" w:hAnsi="Palatino Linotype"/>
        </w:rPr>
        <w:t>DE DOS MIL DIECI</w:t>
      </w:r>
      <w:r w:rsidR="005C1891">
        <w:rPr>
          <w:rFonts w:ascii="Palatino Linotype" w:hAnsi="Palatino Linotype"/>
        </w:rPr>
        <w:t>NUEVE</w:t>
      </w:r>
      <w:r w:rsidRPr="00EE7063">
        <w:rPr>
          <w:rFonts w:ascii="Palatino Linotype" w:hAnsi="Palatino Linotype"/>
        </w:rPr>
        <w:t>, ANTE EL SECRETARIO TÉCNICO DEL PLENO ALEXIS TAPIA RAMÍREZ.</w:t>
      </w:r>
      <w:r w:rsidR="00F460D4">
        <w:rPr>
          <w:rFonts w:ascii="Palatino Linotype" w:hAnsi="Palatino Linotype"/>
        </w:rPr>
        <w:t>_________________________________________________________________________________________________________________________________________________________________________________________________________________</w:t>
      </w:r>
    </w:p>
    <w:p w14:paraId="1EACC295" w14:textId="77777777" w:rsidR="008A1FE7" w:rsidRDefault="008A1FE7" w:rsidP="004C1450">
      <w:pPr>
        <w:spacing w:before="240" w:after="240" w:line="360" w:lineRule="auto"/>
        <w:jc w:val="both"/>
        <w:rPr>
          <w:rFonts w:ascii="Palatino Linotype" w:hAnsi="Palatino Linotype"/>
          <w:sz w:val="16"/>
        </w:rPr>
      </w:pPr>
    </w:p>
    <w:p w14:paraId="7D68132D" w14:textId="77777777" w:rsidR="00F460D4" w:rsidRPr="00EE7063" w:rsidRDefault="00F460D4" w:rsidP="004C1450">
      <w:pPr>
        <w:spacing w:before="240" w:after="240" w:line="360" w:lineRule="auto"/>
        <w:jc w:val="both"/>
        <w:rPr>
          <w:rFonts w:ascii="Palatino Linotype" w:hAnsi="Palatino Linotype"/>
          <w:sz w:val="16"/>
        </w:rPr>
      </w:pPr>
    </w:p>
    <w:tbl>
      <w:tblPr>
        <w:tblStyle w:val="Tablaconcuadrcula"/>
        <w:tblW w:w="54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5062"/>
      </w:tblGrid>
      <w:tr w:rsidR="004C1450" w:rsidRPr="00EE7063" w14:paraId="635032B5" w14:textId="77777777" w:rsidTr="00F14D54">
        <w:trPr>
          <w:trHeight w:val="704"/>
        </w:trPr>
        <w:tc>
          <w:tcPr>
            <w:tcW w:w="5000" w:type="pct"/>
            <w:gridSpan w:val="2"/>
          </w:tcPr>
          <w:p w14:paraId="0D38C432" w14:textId="77777777" w:rsidR="004C1450" w:rsidRPr="00EE7063" w:rsidRDefault="004C1450" w:rsidP="00996A68">
            <w:pPr>
              <w:jc w:val="center"/>
              <w:rPr>
                <w:rFonts w:ascii="Palatino Linotype" w:hAnsi="Palatino Linotype" w:cs="Arial"/>
                <w:b/>
              </w:rPr>
            </w:pPr>
            <w:r w:rsidRPr="00EE7063">
              <w:rPr>
                <w:rFonts w:ascii="Palatino Linotype" w:hAnsi="Palatino Linotype" w:cs="Arial"/>
                <w:b/>
              </w:rPr>
              <w:t>Zulema Martínez Sánchez</w:t>
            </w:r>
            <w:r w:rsidRPr="00EE7063">
              <w:rPr>
                <w:rFonts w:ascii="Palatino Linotype" w:hAnsi="Palatino Linotype" w:cs="Arial"/>
              </w:rPr>
              <w:t xml:space="preserve"> </w:t>
            </w:r>
          </w:p>
          <w:p w14:paraId="55CB7812" w14:textId="77777777" w:rsidR="004C1450" w:rsidRPr="00EE7063" w:rsidRDefault="004C1450" w:rsidP="00996A68">
            <w:pPr>
              <w:jc w:val="center"/>
              <w:rPr>
                <w:rFonts w:ascii="Palatino Linotype" w:hAnsi="Palatino Linotype" w:cs="Arial"/>
              </w:rPr>
            </w:pPr>
            <w:r w:rsidRPr="00EE7063">
              <w:rPr>
                <w:rFonts w:ascii="Palatino Linotype" w:hAnsi="Palatino Linotype" w:cs="Arial"/>
              </w:rPr>
              <w:t>Comisionada Presidenta</w:t>
            </w:r>
          </w:p>
          <w:p w14:paraId="0C0F69C3" w14:textId="390550F6" w:rsidR="004C1450" w:rsidRDefault="004C1450" w:rsidP="00FA58BB">
            <w:pPr>
              <w:jc w:val="center"/>
              <w:rPr>
                <w:rFonts w:ascii="Palatino Linotype" w:hAnsi="Palatino Linotype" w:cs="Arial"/>
              </w:rPr>
            </w:pPr>
          </w:p>
          <w:p w14:paraId="1CB48E66" w14:textId="77777777" w:rsidR="00F460D4" w:rsidRDefault="00F460D4" w:rsidP="00FA58BB">
            <w:pPr>
              <w:jc w:val="center"/>
              <w:rPr>
                <w:rFonts w:ascii="Palatino Linotype" w:hAnsi="Palatino Linotype" w:cs="Arial"/>
              </w:rPr>
            </w:pPr>
          </w:p>
          <w:p w14:paraId="55C7AC01" w14:textId="77777777" w:rsidR="00F460D4" w:rsidRDefault="00F460D4" w:rsidP="00FA58BB">
            <w:pPr>
              <w:jc w:val="center"/>
              <w:rPr>
                <w:rFonts w:ascii="Palatino Linotype" w:hAnsi="Palatino Linotype" w:cs="Arial"/>
              </w:rPr>
            </w:pPr>
          </w:p>
          <w:p w14:paraId="2B98EBEA" w14:textId="77777777" w:rsidR="00F460D4" w:rsidRPr="00EE7063" w:rsidRDefault="00F460D4" w:rsidP="00FA58BB">
            <w:pPr>
              <w:jc w:val="center"/>
              <w:rPr>
                <w:rFonts w:ascii="Palatino Linotype" w:hAnsi="Palatino Linotype" w:cs="Arial"/>
              </w:rPr>
            </w:pPr>
          </w:p>
          <w:p w14:paraId="46591A3B" w14:textId="77777777" w:rsidR="004C1450" w:rsidRPr="00EE7063" w:rsidRDefault="004C1450" w:rsidP="00996A68">
            <w:pPr>
              <w:rPr>
                <w:rFonts w:ascii="Palatino Linotype" w:hAnsi="Palatino Linotype" w:cs="Arial"/>
              </w:rPr>
            </w:pPr>
          </w:p>
        </w:tc>
      </w:tr>
      <w:tr w:rsidR="004C1450" w:rsidRPr="00EE7063" w14:paraId="5E47A809" w14:textId="77777777" w:rsidTr="00F14D54">
        <w:trPr>
          <w:trHeight w:val="688"/>
        </w:trPr>
        <w:tc>
          <w:tcPr>
            <w:tcW w:w="2385" w:type="pct"/>
          </w:tcPr>
          <w:p w14:paraId="16B62B77" w14:textId="77777777" w:rsidR="004C1450" w:rsidRPr="00EE7063" w:rsidRDefault="004C1450" w:rsidP="00996A68">
            <w:pPr>
              <w:jc w:val="center"/>
              <w:rPr>
                <w:rFonts w:ascii="Palatino Linotype" w:hAnsi="Palatino Linotype" w:cs="Arial"/>
                <w:b/>
              </w:rPr>
            </w:pPr>
          </w:p>
          <w:p w14:paraId="65AE224F" w14:textId="77777777" w:rsidR="004C1450" w:rsidRPr="00EE7063" w:rsidRDefault="004C1450" w:rsidP="00996A68">
            <w:pPr>
              <w:jc w:val="center"/>
              <w:rPr>
                <w:rFonts w:ascii="Palatino Linotype" w:hAnsi="Palatino Linotype" w:cs="Arial"/>
                <w:b/>
              </w:rPr>
            </w:pPr>
            <w:r w:rsidRPr="00EE7063">
              <w:rPr>
                <w:rFonts w:ascii="Palatino Linotype" w:hAnsi="Palatino Linotype" w:cs="Arial"/>
                <w:b/>
              </w:rPr>
              <w:t>Eva Abaid Yapur</w:t>
            </w:r>
          </w:p>
          <w:p w14:paraId="646725BC" w14:textId="77777777" w:rsidR="004C1450" w:rsidRPr="00EE7063" w:rsidRDefault="004C1450" w:rsidP="00996A68">
            <w:pPr>
              <w:jc w:val="center"/>
              <w:rPr>
                <w:rFonts w:ascii="Palatino Linotype" w:hAnsi="Palatino Linotype" w:cs="Arial"/>
              </w:rPr>
            </w:pPr>
            <w:r w:rsidRPr="00EE7063">
              <w:rPr>
                <w:rFonts w:ascii="Palatino Linotype" w:hAnsi="Palatino Linotype" w:cs="Arial"/>
              </w:rPr>
              <w:t>Comisionada</w:t>
            </w:r>
          </w:p>
          <w:p w14:paraId="3CE3B37F" w14:textId="2D0A3C73" w:rsidR="005C1891" w:rsidRPr="00EE7063" w:rsidRDefault="005C1891" w:rsidP="005C1891">
            <w:pPr>
              <w:jc w:val="center"/>
              <w:rPr>
                <w:rFonts w:ascii="Palatino Linotype" w:hAnsi="Palatino Linotype" w:cs="Arial"/>
              </w:rPr>
            </w:pPr>
          </w:p>
          <w:p w14:paraId="215FF9E7" w14:textId="77777777" w:rsidR="004C1450" w:rsidRPr="00EE7063" w:rsidRDefault="004C1450" w:rsidP="00996A68">
            <w:pPr>
              <w:rPr>
                <w:rFonts w:ascii="Palatino Linotype" w:hAnsi="Palatino Linotype" w:cs="Arial"/>
              </w:rPr>
            </w:pPr>
          </w:p>
        </w:tc>
        <w:tc>
          <w:tcPr>
            <w:tcW w:w="2615" w:type="pct"/>
          </w:tcPr>
          <w:p w14:paraId="7A02D24E" w14:textId="77777777" w:rsidR="004C1450" w:rsidRPr="00EE7063" w:rsidRDefault="004C1450" w:rsidP="00996A68">
            <w:pPr>
              <w:jc w:val="center"/>
              <w:rPr>
                <w:rFonts w:ascii="Palatino Linotype" w:hAnsi="Palatino Linotype" w:cs="Arial"/>
                <w:b/>
              </w:rPr>
            </w:pPr>
          </w:p>
          <w:p w14:paraId="594AEDCD" w14:textId="77777777" w:rsidR="004C1450" w:rsidRPr="00EE7063" w:rsidRDefault="004C1450" w:rsidP="00996A68">
            <w:pPr>
              <w:jc w:val="center"/>
              <w:rPr>
                <w:rFonts w:ascii="Palatino Linotype" w:hAnsi="Palatino Linotype" w:cs="Arial"/>
                <w:b/>
              </w:rPr>
            </w:pPr>
            <w:r w:rsidRPr="00EE7063">
              <w:rPr>
                <w:rFonts w:ascii="Palatino Linotype" w:hAnsi="Palatino Linotype" w:cs="Arial"/>
                <w:b/>
              </w:rPr>
              <w:t>José Guadalupe Luna Hernández</w:t>
            </w:r>
          </w:p>
          <w:p w14:paraId="2A91A7DE" w14:textId="77777777" w:rsidR="004C1450" w:rsidRPr="00EE7063" w:rsidRDefault="004C1450" w:rsidP="00996A68">
            <w:pPr>
              <w:jc w:val="center"/>
              <w:rPr>
                <w:rFonts w:ascii="Palatino Linotype" w:hAnsi="Palatino Linotype" w:cs="Arial"/>
              </w:rPr>
            </w:pPr>
            <w:r w:rsidRPr="00EE7063">
              <w:rPr>
                <w:rFonts w:ascii="Palatino Linotype" w:hAnsi="Palatino Linotype" w:cs="Arial"/>
              </w:rPr>
              <w:t>Comisionado</w:t>
            </w:r>
          </w:p>
          <w:p w14:paraId="0669E4EF" w14:textId="3B037689" w:rsidR="005C1891" w:rsidRDefault="005C1891" w:rsidP="005C1891">
            <w:pPr>
              <w:jc w:val="center"/>
              <w:rPr>
                <w:rFonts w:ascii="Palatino Linotype" w:hAnsi="Palatino Linotype" w:cs="Arial"/>
              </w:rPr>
            </w:pPr>
          </w:p>
          <w:p w14:paraId="681E911B" w14:textId="77777777" w:rsidR="00F460D4" w:rsidRDefault="00F460D4" w:rsidP="005C1891">
            <w:pPr>
              <w:jc w:val="center"/>
              <w:rPr>
                <w:rFonts w:ascii="Palatino Linotype" w:hAnsi="Palatino Linotype" w:cs="Arial"/>
              </w:rPr>
            </w:pPr>
          </w:p>
          <w:p w14:paraId="77B1A47A" w14:textId="77777777" w:rsidR="00F460D4" w:rsidRDefault="00F460D4" w:rsidP="005C1891">
            <w:pPr>
              <w:jc w:val="center"/>
              <w:rPr>
                <w:rFonts w:ascii="Palatino Linotype" w:hAnsi="Palatino Linotype" w:cs="Arial"/>
              </w:rPr>
            </w:pPr>
          </w:p>
          <w:p w14:paraId="249F3E4F" w14:textId="77777777" w:rsidR="00F460D4" w:rsidRPr="00EE7063" w:rsidRDefault="00F460D4" w:rsidP="005C1891">
            <w:pPr>
              <w:jc w:val="center"/>
              <w:rPr>
                <w:rFonts w:ascii="Palatino Linotype" w:hAnsi="Palatino Linotype" w:cs="Arial"/>
              </w:rPr>
            </w:pPr>
          </w:p>
          <w:p w14:paraId="5415AAD6" w14:textId="77777777" w:rsidR="004C1450" w:rsidRPr="00EE7063" w:rsidRDefault="004C1450" w:rsidP="00996A68">
            <w:pPr>
              <w:jc w:val="center"/>
              <w:rPr>
                <w:rFonts w:ascii="Palatino Linotype" w:hAnsi="Palatino Linotype" w:cs="Arial"/>
              </w:rPr>
            </w:pPr>
          </w:p>
        </w:tc>
      </w:tr>
      <w:tr w:rsidR="004C1450" w:rsidRPr="00EE7063" w14:paraId="1BFD6BE7" w14:textId="77777777" w:rsidTr="00F14D54">
        <w:trPr>
          <w:trHeight w:val="2227"/>
        </w:trPr>
        <w:tc>
          <w:tcPr>
            <w:tcW w:w="2385" w:type="pct"/>
            <w:hideMark/>
          </w:tcPr>
          <w:p w14:paraId="7E06485E" w14:textId="77777777" w:rsidR="004C1450" w:rsidRPr="00EE7063" w:rsidRDefault="004C1450" w:rsidP="00996A68">
            <w:pPr>
              <w:jc w:val="center"/>
              <w:rPr>
                <w:rFonts w:ascii="Palatino Linotype" w:hAnsi="Palatino Linotype" w:cs="Arial"/>
                <w:b/>
              </w:rPr>
            </w:pPr>
          </w:p>
          <w:p w14:paraId="52133BF4" w14:textId="77777777" w:rsidR="004C1450" w:rsidRPr="00EE7063" w:rsidRDefault="004C1450" w:rsidP="00996A68">
            <w:pPr>
              <w:jc w:val="center"/>
              <w:rPr>
                <w:rFonts w:ascii="Palatino Linotype" w:hAnsi="Palatino Linotype" w:cs="Arial"/>
                <w:b/>
              </w:rPr>
            </w:pPr>
          </w:p>
          <w:p w14:paraId="46EFD895" w14:textId="77777777" w:rsidR="004C1450" w:rsidRPr="00EE7063" w:rsidRDefault="004C1450" w:rsidP="00996A68">
            <w:pPr>
              <w:jc w:val="center"/>
              <w:rPr>
                <w:rFonts w:ascii="Palatino Linotype" w:hAnsi="Palatino Linotype" w:cs="Arial"/>
                <w:b/>
              </w:rPr>
            </w:pPr>
            <w:r w:rsidRPr="00EE7063">
              <w:rPr>
                <w:rFonts w:ascii="Palatino Linotype" w:hAnsi="Palatino Linotype" w:cs="Arial"/>
                <w:b/>
              </w:rPr>
              <w:t>Javier Martínez Cruz</w:t>
            </w:r>
          </w:p>
          <w:p w14:paraId="7A5496E7" w14:textId="77777777" w:rsidR="004C1450" w:rsidRPr="00EE7063" w:rsidRDefault="004C1450" w:rsidP="00996A68">
            <w:pPr>
              <w:jc w:val="center"/>
              <w:rPr>
                <w:rFonts w:ascii="Palatino Linotype" w:hAnsi="Palatino Linotype" w:cs="Arial"/>
              </w:rPr>
            </w:pPr>
            <w:r w:rsidRPr="00EE7063">
              <w:rPr>
                <w:rFonts w:ascii="Palatino Linotype" w:hAnsi="Palatino Linotype" w:cs="Arial"/>
              </w:rPr>
              <w:t>Comisionado</w:t>
            </w:r>
          </w:p>
          <w:p w14:paraId="01A8B512" w14:textId="2476E864" w:rsidR="005C1891" w:rsidRPr="00EE7063" w:rsidRDefault="005C1891" w:rsidP="005C1891">
            <w:pPr>
              <w:jc w:val="center"/>
              <w:rPr>
                <w:rFonts w:ascii="Palatino Linotype" w:hAnsi="Palatino Linotype" w:cs="Arial"/>
              </w:rPr>
            </w:pPr>
          </w:p>
          <w:p w14:paraId="1A2E26C3" w14:textId="267C719C" w:rsidR="004C1450" w:rsidRPr="00EE7063" w:rsidRDefault="004C1450" w:rsidP="00996A68">
            <w:pPr>
              <w:jc w:val="center"/>
              <w:rPr>
                <w:rFonts w:ascii="Palatino Linotype" w:hAnsi="Palatino Linotype" w:cs="Arial"/>
              </w:rPr>
            </w:pPr>
          </w:p>
          <w:p w14:paraId="7791D0A4" w14:textId="77777777" w:rsidR="004C1450" w:rsidRPr="00EE7063" w:rsidRDefault="004C1450" w:rsidP="00996A68">
            <w:pPr>
              <w:jc w:val="center"/>
              <w:rPr>
                <w:rFonts w:ascii="Palatino Linotype" w:hAnsi="Palatino Linotype" w:cs="Arial"/>
              </w:rPr>
            </w:pPr>
          </w:p>
          <w:p w14:paraId="2FFE208F" w14:textId="77777777" w:rsidR="004C1450" w:rsidRPr="00EE7063" w:rsidRDefault="004C1450" w:rsidP="00996A68">
            <w:pPr>
              <w:jc w:val="center"/>
              <w:rPr>
                <w:rFonts w:ascii="Palatino Linotype" w:hAnsi="Palatino Linotype" w:cs="Arial"/>
              </w:rPr>
            </w:pPr>
          </w:p>
        </w:tc>
        <w:tc>
          <w:tcPr>
            <w:tcW w:w="2615" w:type="pct"/>
          </w:tcPr>
          <w:p w14:paraId="4333E6E4" w14:textId="77777777" w:rsidR="004C1450" w:rsidRPr="00EE7063" w:rsidRDefault="004C1450" w:rsidP="00996A68">
            <w:pPr>
              <w:jc w:val="center"/>
              <w:rPr>
                <w:rFonts w:ascii="Palatino Linotype" w:hAnsi="Palatino Linotype" w:cs="Arial"/>
              </w:rPr>
            </w:pPr>
          </w:p>
          <w:p w14:paraId="392D839B" w14:textId="77777777" w:rsidR="004C1450" w:rsidRPr="00EE7063" w:rsidRDefault="004C1450" w:rsidP="00996A68">
            <w:pPr>
              <w:jc w:val="center"/>
              <w:rPr>
                <w:rFonts w:ascii="Palatino Linotype" w:hAnsi="Palatino Linotype" w:cs="Arial"/>
              </w:rPr>
            </w:pPr>
          </w:p>
          <w:p w14:paraId="221EB5CA" w14:textId="77777777" w:rsidR="004C1450" w:rsidRPr="00EE7063" w:rsidRDefault="004C1450" w:rsidP="00996A68">
            <w:pPr>
              <w:jc w:val="center"/>
              <w:rPr>
                <w:rFonts w:ascii="Palatino Linotype" w:hAnsi="Palatino Linotype" w:cs="Arial"/>
                <w:b/>
              </w:rPr>
            </w:pPr>
            <w:r w:rsidRPr="00EE7063">
              <w:rPr>
                <w:rFonts w:ascii="Palatino Linotype" w:hAnsi="Palatino Linotype" w:cs="Arial"/>
                <w:b/>
              </w:rPr>
              <w:t>Luis Gustavo Parra Noriega</w:t>
            </w:r>
          </w:p>
          <w:p w14:paraId="0F30D01E" w14:textId="77777777" w:rsidR="004C1450" w:rsidRPr="00EE7063" w:rsidRDefault="004C1450" w:rsidP="00996A68">
            <w:pPr>
              <w:jc w:val="center"/>
              <w:rPr>
                <w:rFonts w:ascii="Palatino Linotype" w:hAnsi="Palatino Linotype" w:cs="Arial"/>
              </w:rPr>
            </w:pPr>
            <w:r w:rsidRPr="00EE7063">
              <w:rPr>
                <w:rFonts w:ascii="Palatino Linotype" w:hAnsi="Palatino Linotype" w:cs="Arial"/>
              </w:rPr>
              <w:t>Comisionado</w:t>
            </w:r>
          </w:p>
          <w:p w14:paraId="2780577A" w14:textId="5CBE9A77" w:rsidR="005C1891" w:rsidRPr="00EE7063" w:rsidRDefault="008A1FE7" w:rsidP="005C1891">
            <w:pPr>
              <w:jc w:val="center"/>
              <w:rPr>
                <w:rFonts w:ascii="Palatino Linotype" w:hAnsi="Palatino Linotype" w:cs="Arial"/>
              </w:rPr>
            </w:pPr>
            <w:r w:rsidRPr="00EE7063">
              <w:rPr>
                <w:rFonts w:ascii="Palatino Linotype" w:hAnsi="Palatino Linotype" w:cs="Arial"/>
              </w:rPr>
              <w:t xml:space="preserve"> </w:t>
            </w:r>
            <w:r w:rsidR="005C1891">
              <w:rPr>
                <w:rFonts w:ascii="Palatino Linotype" w:hAnsi="Palatino Linotype" w:cs="Arial"/>
              </w:rPr>
              <w:t>(</w:t>
            </w:r>
            <w:r w:rsidR="007D4AA6">
              <w:rPr>
                <w:rFonts w:ascii="Palatino Linotype" w:hAnsi="Palatino Linotype" w:cs="Arial"/>
              </w:rPr>
              <w:t>Ausente en votación</w:t>
            </w:r>
            <w:r w:rsidR="005C1891">
              <w:rPr>
                <w:rFonts w:ascii="Palatino Linotype" w:hAnsi="Palatino Linotype" w:cs="Arial"/>
              </w:rPr>
              <w:t>)</w:t>
            </w:r>
          </w:p>
          <w:p w14:paraId="5EACB82F" w14:textId="091D1291" w:rsidR="004C1450" w:rsidRPr="00EE7063" w:rsidRDefault="004C1450" w:rsidP="00996A68">
            <w:pPr>
              <w:jc w:val="center"/>
              <w:rPr>
                <w:rFonts w:ascii="Palatino Linotype" w:hAnsi="Palatino Linotype" w:cs="Arial"/>
              </w:rPr>
            </w:pPr>
          </w:p>
          <w:p w14:paraId="2322C023" w14:textId="77777777" w:rsidR="004C1450" w:rsidRDefault="004C1450" w:rsidP="00996A68">
            <w:pPr>
              <w:jc w:val="center"/>
              <w:rPr>
                <w:rFonts w:ascii="Palatino Linotype" w:hAnsi="Palatino Linotype" w:cs="Arial"/>
              </w:rPr>
            </w:pPr>
          </w:p>
          <w:p w14:paraId="74FFDD32" w14:textId="77777777" w:rsidR="00F460D4" w:rsidRDefault="00F460D4" w:rsidP="00996A68">
            <w:pPr>
              <w:jc w:val="center"/>
              <w:rPr>
                <w:rFonts w:ascii="Palatino Linotype" w:hAnsi="Palatino Linotype" w:cs="Arial"/>
              </w:rPr>
            </w:pPr>
          </w:p>
          <w:p w14:paraId="0C262F6C" w14:textId="77777777" w:rsidR="00F460D4" w:rsidRDefault="00F460D4" w:rsidP="00996A68">
            <w:pPr>
              <w:jc w:val="center"/>
              <w:rPr>
                <w:rFonts w:ascii="Palatino Linotype" w:hAnsi="Palatino Linotype" w:cs="Arial"/>
              </w:rPr>
            </w:pPr>
          </w:p>
          <w:p w14:paraId="16D5B131" w14:textId="77777777" w:rsidR="00F460D4" w:rsidRDefault="00F460D4" w:rsidP="00996A68">
            <w:pPr>
              <w:jc w:val="center"/>
              <w:rPr>
                <w:rFonts w:ascii="Palatino Linotype" w:hAnsi="Palatino Linotype" w:cs="Arial"/>
              </w:rPr>
            </w:pPr>
          </w:p>
          <w:p w14:paraId="1EFB592E" w14:textId="77777777" w:rsidR="00F460D4" w:rsidRPr="00EE7063" w:rsidRDefault="00F460D4" w:rsidP="00996A68">
            <w:pPr>
              <w:jc w:val="center"/>
              <w:rPr>
                <w:rFonts w:ascii="Palatino Linotype" w:hAnsi="Palatino Linotype" w:cs="Arial"/>
              </w:rPr>
            </w:pPr>
          </w:p>
          <w:p w14:paraId="0731C91F" w14:textId="77777777" w:rsidR="004C1450" w:rsidRPr="00EE7063" w:rsidRDefault="004C1450" w:rsidP="00996A68">
            <w:pPr>
              <w:rPr>
                <w:rFonts w:ascii="Palatino Linotype" w:hAnsi="Palatino Linotype" w:cs="Arial"/>
              </w:rPr>
            </w:pPr>
          </w:p>
        </w:tc>
      </w:tr>
      <w:tr w:rsidR="004C1450" w:rsidRPr="00EE7063" w14:paraId="1DC3E1BE" w14:textId="77777777" w:rsidTr="00F14D54">
        <w:trPr>
          <w:trHeight w:val="817"/>
        </w:trPr>
        <w:tc>
          <w:tcPr>
            <w:tcW w:w="5000" w:type="pct"/>
            <w:gridSpan w:val="2"/>
          </w:tcPr>
          <w:p w14:paraId="642134E3" w14:textId="77777777" w:rsidR="004C1450" w:rsidRPr="00EE7063" w:rsidRDefault="004C1450" w:rsidP="00996A68">
            <w:pPr>
              <w:jc w:val="center"/>
              <w:rPr>
                <w:rFonts w:ascii="Palatino Linotype" w:hAnsi="Palatino Linotype" w:cs="Arial"/>
                <w:b/>
              </w:rPr>
            </w:pPr>
            <w:r w:rsidRPr="00EE7063">
              <w:rPr>
                <w:rFonts w:ascii="Palatino Linotype" w:hAnsi="Palatino Linotype" w:cs="Arial"/>
                <w:b/>
              </w:rPr>
              <w:t>Alexis Tapia Ramírez</w:t>
            </w:r>
          </w:p>
          <w:p w14:paraId="68F6DC9A" w14:textId="77777777" w:rsidR="004C1450" w:rsidRPr="00EE7063" w:rsidRDefault="004C1450" w:rsidP="00996A68">
            <w:pPr>
              <w:tabs>
                <w:tab w:val="left" w:pos="780"/>
                <w:tab w:val="center" w:pos="4499"/>
              </w:tabs>
              <w:jc w:val="center"/>
              <w:rPr>
                <w:rFonts w:ascii="Palatino Linotype" w:hAnsi="Palatino Linotype" w:cs="Arial"/>
              </w:rPr>
            </w:pPr>
            <w:r w:rsidRPr="00EE7063">
              <w:rPr>
                <w:rFonts w:ascii="Palatino Linotype" w:hAnsi="Palatino Linotype" w:cs="Arial"/>
              </w:rPr>
              <w:t>Secretario Técnico del Pleno</w:t>
            </w:r>
          </w:p>
          <w:p w14:paraId="40372D89" w14:textId="14ACF66E" w:rsidR="005C1891" w:rsidRPr="00EE7063" w:rsidRDefault="005C1891" w:rsidP="005C1891">
            <w:pPr>
              <w:jc w:val="center"/>
              <w:rPr>
                <w:rFonts w:ascii="Palatino Linotype" w:hAnsi="Palatino Linotype" w:cs="Arial"/>
              </w:rPr>
            </w:pPr>
          </w:p>
          <w:p w14:paraId="6179EE9D" w14:textId="2026E724" w:rsidR="004C1450" w:rsidRPr="00EE7063" w:rsidRDefault="004C1450" w:rsidP="008A1FE7">
            <w:pPr>
              <w:jc w:val="center"/>
              <w:rPr>
                <w:rFonts w:ascii="Palatino Linotype" w:hAnsi="Palatino Linotype" w:cs="Arial"/>
              </w:rPr>
            </w:pPr>
          </w:p>
        </w:tc>
      </w:tr>
    </w:tbl>
    <w:p w14:paraId="7EB7EE4B" w14:textId="77777777" w:rsidR="004C1450" w:rsidRPr="00EE7063" w:rsidRDefault="004C1450" w:rsidP="004C1450">
      <w:pPr>
        <w:jc w:val="both"/>
        <w:rPr>
          <w:rFonts w:ascii="Palatino Linotype" w:hAnsi="Palatino Linotype" w:cs="Arial"/>
          <w:sz w:val="16"/>
          <w:szCs w:val="16"/>
        </w:rPr>
      </w:pPr>
    </w:p>
    <w:p w14:paraId="4DB91886" w14:textId="489BE465" w:rsidR="000F27A3" w:rsidRPr="00F14D54" w:rsidRDefault="004C1450" w:rsidP="00F14D54">
      <w:pPr>
        <w:jc w:val="both"/>
        <w:rPr>
          <w:rFonts w:ascii="Palatino Linotype" w:hAnsi="Palatino Linotype" w:cs="Arial"/>
          <w:sz w:val="18"/>
          <w:szCs w:val="18"/>
        </w:rPr>
      </w:pPr>
      <w:r w:rsidRPr="00EE7063">
        <w:rPr>
          <w:rFonts w:ascii="Palatino Linotype" w:hAnsi="Palatino Linotype" w:cs="Arial"/>
          <w:sz w:val="18"/>
          <w:szCs w:val="18"/>
        </w:rPr>
        <w:t xml:space="preserve">Esta hoja corresponde a la resolución del </w:t>
      </w:r>
      <w:r w:rsidR="005C1891">
        <w:rPr>
          <w:rFonts w:ascii="Palatino Linotype" w:hAnsi="Palatino Linotype" w:cs="Arial"/>
          <w:sz w:val="18"/>
          <w:szCs w:val="18"/>
        </w:rPr>
        <w:t>veintitrés</w:t>
      </w:r>
      <w:r w:rsidRPr="00EE7063">
        <w:rPr>
          <w:rFonts w:ascii="Palatino Linotype" w:hAnsi="Palatino Linotype" w:cs="Arial"/>
          <w:sz w:val="18"/>
          <w:szCs w:val="18"/>
        </w:rPr>
        <w:t xml:space="preserve"> de </w:t>
      </w:r>
      <w:r w:rsidR="005C1891">
        <w:rPr>
          <w:rFonts w:ascii="Palatino Linotype" w:hAnsi="Palatino Linotype" w:cs="Arial"/>
          <w:sz w:val="18"/>
          <w:szCs w:val="18"/>
        </w:rPr>
        <w:t xml:space="preserve">enero </w:t>
      </w:r>
      <w:r w:rsidRPr="00EE7063">
        <w:rPr>
          <w:rFonts w:ascii="Palatino Linotype" w:hAnsi="Palatino Linotype" w:cs="Arial"/>
          <w:sz w:val="18"/>
          <w:szCs w:val="18"/>
        </w:rPr>
        <w:t>de dos mil dieci</w:t>
      </w:r>
      <w:r w:rsidR="005C1891">
        <w:rPr>
          <w:rFonts w:ascii="Palatino Linotype" w:hAnsi="Palatino Linotype" w:cs="Arial"/>
          <w:sz w:val="18"/>
          <w:szCs w:val="18"/>
        </w:rPr>
        <w:t>nueve</w:t>
      </w:r>
      <w:r w:rsidR="008A1FE7" w:rsidRPr="00EE7063">
        <w:rPr>
          <w:rFonts w:ascii="Palatino Linotype" w:hAnsi="Palatino Linotype" w:cs="Arial"/>
          <w:sz w:val="18"/>
          <w:szCs w:val="18"/>
        </w:rPr>
        <w:t xml:space="preserve">, emitida en los recursos de </w:t>
      </w:r>
      <w:r w:rsidRPr="00EE7063">
        <w:rPr>
          <w:rFonts w:ascii="Palatino Linotype" w:hAnsi="Palatino Linotype" w:cs="Arial"/>
          <w:sz w:val="18"/>
          <w:szCs w:val="18"/>
        </w:rPr>
        <w:t xml:space="preserve">revisión </w:t>
      </w:r>
      <w:r w:rsidR="005C1891">
        <w:rPr>
          <w:rFonts w:ascii="Palatino Linotype" w:hAnsi="Palatino Linotype" w:cs="Arial"/>
          <w:b/>
          <w:bCs/>
          <w:sz w:val="18"/>
          <w:szCs w:val="18"/>
        </w:rPr>
        <w:t>04534</w:t>
      </w:r>
      <w:r w:rsidRPr="00EE7063">
        <w:rPr>
          <w:rFonts w:ascii="Palatino Linotype" w:hAnsi="Palatino Linotype" w:cs="Arial"/>
          <w:b/>
          <w:bCs/>
          <w:sz w:val="18"/>
          <w:szCs w:val="18"/>
        </w:rPr>
        <w:t>/INFOEM/IP/RR/2018.</w:t>
      </w:r>
    </w:p>
    <w:sectPr w:rsidR="000F27A3" w:rsidRPr="00F14D54" w:rsidSect="00446B99">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D0F75" w14:textId="77777777" w:rsidR="00511C73" w:rsidRDefault="00511C73" w:rsidP="00C80F8C">
      <w:r>
        <w:separator/>
      </w:r>
    </w:p>
  </w:endnote>
  <w:endnote w:type="continuationSeparator" w:id="0">
    <w:p w14:paraId="3D03583D" w14:textId="77777777" w:rsidR="00511C73" w:rsidRDefault="00511C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63999" w:rsidRDefault="00E639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636BA">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636BA">
      <w:rPr>
        <w:rFonts w:ascii="Arial" w:hAnsi="Arial" w:cs="Arial"/>
        <w:b/>
        <w:bCs/>
        <w:noProof/>
        <w:sz w:val="20"/>
        <w:szCs w:val="20"/>
      </w:rPr>
      <w:t>26</w:t>
    </w:r>
    <w:r>
      <w:rPr>
        <w:rFonts w:ascii="Arial" w:hAnsi="Arial" w:cs="Arial"/>
        <w:b/>
        <w:bCs/>
        <w:sz w:val="20"/>
        <w:szCs w:val="20"/>
      </w:rPr>
      <w:fldChar w:fldCharType="end"/>
    </w:r>
  </w:p>
  <w:p w14:paraId="1192A578" w14:textId="77777777" w:rsidR="00E63999" w:rsidRDefault="00E63999" w:rsidP="00935A0D">
    <w:pPr>
      <w:pStyle w:val="Piedepgina"/>
      <w:rPr>
        <w:rFonts w:ascii="Times New Roman" w:hAnsi="Times New Roman" w:cs="Times New Roman"/>
      </w:rPr>
    </w:pPr>
  </w:p>
  <w:p w14:paraId="14A770F8" w14:textId="77777777" w:rsidR="00E63999" w:rsidRDefault="00E6399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63999" w:rsidRDefault="00E639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636B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636BA">
      <w:rPr>
        <w:rFonts w:ascii="Arial" w:hAnsi="Arial" w:cs="Arial"/>
        <w:b/>
        <w:bCs/>
        <w:noProof/>
        <w:sz w:val="20"/>
        <w:szCs w:val="20"/>
      </w:rPr>
      <w:t>26</w:t>
    </w:r>
    <w:r>
      <w:rPr>
        <w:rFonts w:ascii="Arial" w:hAnsi="Arial" w:cs="Arial"/>
        <w:b/>
        <w:bCs/>
        <w:sz w:val="20"/>
        <w:szCs w:val="20"/>
      </w:rPr>
      <w:fldChar w:fldCharType="end"/>
    </w:r>
  </w:p>
  <w:p w14:paraId="5D98ABD5" w14:textId="77777777" w:rsidR="00E63999" w:rsidRDefault="00E639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64FD" w14:textId="77777777" w:rsidR="00511C73" w:rsidRDefault="00511C73" w:rsidP="00C80F8C">
      <w:r>
        <w:separator/>
      </w:r>
    </w:p>
  </w:footnote>
  <w:footnote w:type="continuationSeparator" w:id="0">
    <w:p w14:paraId="406E72E2" w14:textId="77777777" w:rsidR="00511C73" w:rsidRDefault="00511C73" w:rsidP="00C80F8C">
      <w:r>
        <w:continuationSeparator/>
      </w:r>
    </w:p>
  </w:footnote>
  <w:footnote w:id="1">
    <w:p w14:paraId="3F2129E7" w14:textId="77777777" w:rsidR="00E63999" w:rsidRPr="005C79BE" w:rsidRDefault="00E63999" w:rsidP="008B1FB0">
      <w:pPr>
        <w:pStyle w:val="Textonotapie"/>
        <w:jc w:val="both"/>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12. (…)</w:t>
      </w:r>
    </w:p>
    <w:p w14:paraId="76514D9E" w14:textId="77777777" w:rsidR="00E63999" w:rsidRPr="005C79BE" w:rsidRDefault="00E63999" w:rsidP="008B1FB0">
      <w:pPr>
        <w:pStyle w:val="Textonotapie"/>
        <w:jc w:val="both"/>
        <w:rPr>
          <w:rFonts w:ascii="Palatino Linotype" w:hAnsi="Palatino Linotype"/>
        </w:rPr>
      </w:pPr>
      <w:r w:rsidRPr="005C79BE">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281BAA46" w14:textId="77777777" w:rsidR="00E63999" w:rsidRPr="005C79BE" w:rsidRDefault="00E63999" w:rsidP="008B1FB0">
      <w:pPr>
        <w:pStyle w:val="Textonotapie"/>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48600D48" w14:textId="77777777" w:rsidR="00E63999" w:rsidRPr="005C79BE" w:rsidRDefault="00E63999" w:rsidP="008B1FB0">
      <w:pPr>
        <w:pStyle w:val="Textonotapie"/>
        <w:jc w:val="both"/>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2BED303D" w14:textId="77777777" w:rsidR="00AB2D37" w:rsidRPr="00AC1388" w:rsidRDefault="00AB2D37" w:rsidP="00AB2D37">
      <w:pPr>
        <w:pStyle w:val="Textonotapie"/>
      </w:pPr>
      <w:r>
        <w:rPr>
          <w:rStyle w:val="Refdenotaalpie"/>
        </w:rPr>
        <w:footnoteRef/>
      </w:r>
      <w:r>
        <w:t xml:space="preserve"> </w:t>
      </w:r>
      <w:sdt>
        <w:sdtPr>
          <w:id w:val="1152246843"/>
          <w:citation/>
        </w:sdtPr>
        <w:sdtEndPr/>
        <w:sdtContent>
          <w:r>
            <w:fldChar w:fldCharType="begin"/>
          </w:r>
          <w:r>
            <w:instrText xml:space="preserve"> CITATION Sup18 \l 2058 </w:instrText>
          </w:r>
          <w:r>
            <w:fldChar w:fldCharType="separate"/>
          </w:r>
          <w:r w:rsidRPr="001F509A">
            <w:rPr>
              <w:noProof/>
            </w:rPr>
            <w:t>(Suprema Corte de Justicia de la Nación, 2018)</w:t>
          </w:r>
          <w:r>
            <w:fldChar w:fldCharType="end"/>
          </w:r>
        </w:sdtContent>
      </w:sdt>
    </w:p>
  </w:footnote>
  <w:footnote w:id="5">
    <w:p w14:paraId="3DE07A17" w14:textId="77777777" w:rsidR="00FD6737" w:rsidRDefault="00FD6737" w:rsidP="00FD6737">
      <w:pPr>
        <w:pStyle w:val="Textonotapie"/>
      </w:pPr>
      <w:r>
        <w:rPr>
          <w:rStyle w:val="Refdenotaalpie"/>
        </w:rPr>
        <w:footnoteRef/>
      </w:r>
      <w:r>
        <w:t xml:space="preserve"> “</w:t>
      </w:r>
      <w:r w:rsidRPr="00FD4AC2">
        <w:t>Artículo 24. Para el cumplimiento de los objetivos de esta Ley, los sujetos obligados deberán cumplir con las siguientes obligaciones, según corresponda, de acuerdo a su naturaleza:</w:t>
      </w:r>
    </w:p>
    <w:p w14:paraId="67B8A576" w14:textId="77777777" w:rsidR="00FD6737" w:rsidRDefault="00FD6737" w:rsidP="00FD6737">
      <w:pPr>
        <w:pStyle w:val="Textonotapie"/>
      </w:pPr>
      <w:r>
        <w:t>(…)</w:t>
      </w:r>
    </w:p>
    <w:p w14:paraId="31B0894B" w14:textId="77777777" w:rsidR="00FD6737" w:rsidRPr="00FD4AC2" w:rsidRDefault="00FD6737" w:rsidP="00FD6737">
      <w:pPr>
        <w:pStyle w:val="Textonotapie"/>
      </w:pPr>
      <w:r w:rsidRPr="00FD4AC2">
        <w:t>XIII. Difundir proactivamente información de interés público;</w:t>
      </w:r>
      <w:r>
        <w:t xml:space="preserve"> (…)”</w:t>
      </w:r>
    </w:p>
  </w:footnote>
  <w:footnote w:id="6">
    <w:p w14:paraId="5C8FCB86" w14:textId="77777777" w:rsidR="00FD6737" w:rsidRPr="00C8105E" w:rsidRDefault="00FD6737" w:rsidP="00FD6737">
      <w:pPr>
        <w:pStyle w:val="Textonotapie"/>
        <w:jc w:val="both"/>
      </w:pPr>
      <w:r>
        <w:rPr>
          <w:rStyle w:val="Refdenotaalpie"/>
        </w:rPr>
        <w:footnoteRef/>
      </w:r>
      <w:r>
        <w:t xml:space="preserve"> </w:t>
      </w:r>
      <w:r w:rsidRPr="00C8105E">
        <w:t>“Artículo 140. El acceso a la información pública será restringido excepcionalmente, cuando por razones de interés público, ésta sea clasificada como reservada, conforme a los criterios siguientes:</w:t>
      </w:r>
    </w:p>
    <w:p w14:paraId="137FC640" w14:textId="77777777" w:rsidR="00FD6737" w:rsidRPr="00C8105E" w:rsidRDefault="00FD6737" w:rsidP="00FD6737">
      <w:pPr>
        <w:pStyle w:val="Textonotapie"/>
        <w:jc w:val="both"/>
      </w:pPr>
      <w:r w:rsidRPr="00C8105E">
        <w:t>(…)</w:t>
      </w:r>
    </w:p>
    <w:p w14:paraId="27E52E50" w14:textId="77777777" w:rsidR="00FD6737" w:rsidRPr="00C8105E" w:rsidRDefault="00FD6737" w:rsidP="00FD6737">
      <w:pPr>
        <w:pStyle w:val="Textonotapie"/>
        <w:jc w:val="both"/>
      </w:pPr>
      <w:r w:rsidRPr="00C8105E">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863C85" w14:paraId="6B4E3B81" w14:textId="77777777" w:rsidTr="007E2BE8">
      <w:tc>
        <w:tcPr>
          <w:tcW w:w="2552" w:type="dxa"/>
          <w:vAlign w:val="center"/>
          <w:hideMark/>
        </w:tcPr>
        <w:p w14:paraId="0ABBC6C0" w14:textId="77777777" w:rsidR="00863C85" w:rsidRDefault="00863C85" w:rsidP="00863C8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5C38C81F" w:rsidR="00863C85" w:rsidRDefault="00863C85" w:rsidP="00863C85">
          <w:pPr>
            <w:jc w:val="both"/>
            <w:rPr>
              <w:rFonts w:ascii="Palatino Linotype" w:hAnsi="Palatino Linotype"/>
              <w:b/>
              <w:sz w:val="22"/>
              <w:szCs w:val="22"/>
              <w:lang w:val="es-ES_tradnl"/>
            </w:rPr>
          </w:pPr>
          <w:r>
            <w:rPr>
              <w:rFonts w:ascii="Palatino Linotype" w:hAnsi="Palatino Linotype"/>
              <w:b/>
              <w:sz w:val="22"/>
              <w:szCs w:val="22"/>
              <w:lang w:val="es-ES_tradnl"/>
            </w:rPr>
            <w:t>04534/INFOEM/IP/RR/2018</w:t>
          </w:r>
        </w:p>
      </w:tc>
    </w:tr>
    <w:tr w:rsidR="00F460D4" w14:paraId="31CB780F" w14:textId="77777777" w:rsidTr="007E2BE8">
      <w:trPr>
        <w:trHeight w:val="228"/>
      </w:trPr>
      <w:tc>
        <w:tcPr>
          <w:tcW w:w="2552" w:type="dxa"/>
          <w:vAlign w:val="center"/>
          <w:hideMark/>
        </w:tcPr>
        <w:p w14:paraId="4F49CB4A" w14:textId="77777777" w:rsidR="00F460D4" w:rsidRDefault="00F460D4" w:rsidP="00F460D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271CF6D3" w:rsidR="00F460D4" w:rsidRDefault="00F460D4" w:rsidP="00F460D4">
          <w:pPr>
            <w:jc w:val="both"/>
            <w:rPr>
              <w:rFonts w:ascii="Palatino Linotype" w:hAnsi="Palatino Linotype"/>
              <w:b/>
              <w:sz w:val="22"/>
              <w:szCs w:val="22"/>
              <w:lang w:val="es-ES_tradnl"/>
            </w:rPr>
          </w:pPr>
          <w:r>
            <w:rPr>
              <w:rFonts w:ascii="Palatino Linotype" w:hAnsi="Palatino Linotype"/>
              <w:b/>
              <w:bCs/>
              <w:color w:val="000000"/>
              <w:sz w:val="22"/>
              <w:szCs w:val="22"/>
            </w:rPr>
            <w:t>Ayuntamiento de Cocotitlán</w:t>
          </w:r>
        </w:p>
      </w:tc>
    </w:tr>
    <w:tr w:rsidR="00E63999" w14:paraId="69050F56" w14:textId="77777777" w:rsidTr="007E2BE8">
      <w:tc>
        <w:tcPr>
          <w:tcW w:w="2552" w:type="dxa"/>
          <w:vAlign w:val="center"/>
          <w:hideMark/>
        </w:tcPr>
        <w:p w14:paraId="65C9B735" w14:textId="3CB772C2" w:rsidR="00E63999" w:rsidRDefault="00E6399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E63999" w:rsidRDefault="00E63999"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E63999" w:rsidRDefault="00E63999"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E63999" w14:paraId="477E149B" w14:textId="77777777" w:rsidTr="007E2BE8">
      <w:tc>
        <w:tcPr>
          <w:tcW w:w="2551" w:type="dxa"/>
          <w:vAlign w:val="center"/>
          <w:hideMark/>
        </w:tcPr>
        <w:p w14:paraId="5C0586E4" w14:textId="77777777" w:rsidR="00E63999" w:rsidRDefault="00E6399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439F6EC9" w:rsidR="00E63999" w:rsidRDefault="00863C85" w:rsidP="005347A7">
          <w:pPr>
            <w:jc w:val="both"/>
            <w:rPr>
              <w:rFonts w:ascii="Palatino Linotype" w:hAnsi="Palatino Linotype"/>
              <w:b/>
              <w:sz w:val="22"/>
              <w:szCs w:val="22"/>
              <w:lang w:val="es-ES_tradnl"/>
            </w:rPr>
          </w:pPr>
          <w:r>
            <w:rPr>
              <w:rFonts w:ascii="Palatino Linotype" w:hAnsi="Palatino Linotype"/>
              <w:b/>
              <w:sz w:val="22"/>
              <w:szCs w:val="22"/>
              <w:lang w:val="es-ES_tradnl"/>
            </w:rPr>
            <w:t>04534</w:t>
          </w:r>
          <w:r w:rsidR="00E63999">
            <w:rPr>
              <w:rFonts w:ascii="Palatino Linotype" w:hAnsi="Palatino Linotype"/>
              <w:b/>
              <w:sz w:val="22"/>
              <w:szCs w:val="22"/>
              <w:lang w:val="es-ES_tradnl"/>
            </w:rPr>
            <w:t>/INFOEM/IP/RR/2018</w:t>
          </w:r>
        </w:p>
      </w:tc>
    </w:tr>
    <w:tr w:rsidR="00E63999" w14:paraId="5B5BE21C" w14:textId="77777777" w:rsidTr="007E2BE8">
      <w:tc>
        <w:tcPr>
          <w:tcW w:w="2551" w:type="dxa"/>
          <w:vAlign w:val="center"/>
          <w:hideMark/>
        </w:tcPr>
        <w:p w14:paraId="4AE96902" w14:textId="77777777" w:rsidR="00E63999" w:rsidRDefault="00E63999"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0738F949" w:rsidR="00E63999" w:rsidRDefault="00791155" w:rsidP="00791155">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863C85">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863C85">
            <w:rPr>
              <w:rFonts w:ascii="Palatino Linotype" w:hAnsi="Palatino Linotype"/>
              <w:b/>
              <w:sz w:val="22"/>
              <w:szCs w:val="22"/>
              <w:lang w:val="es-ES_tradnl"/>
            </w:rPr>
            <w:t xml:space="preserve"> </w:t>
          </w:r>
          <w:r>
            <w:rPr>
              <w:rFonts w:ascii="Palatino Linotype" w:hAnsi="Palatino Linotype"/>
              <w:b/>
              <w:sz w:val="22"/>
              <w:szCs w:val="22"/>
              <w:lang w:val="es-ES_tradnl"/>
            </w:rPr>
            <w:t>xx Xxxx</w:t>
          </w:r>
          <w:r w:rsidR="00863C85">
            <w:rPr>
              <w:rFonts w:ascii="Palatino Linotype" w:hAnsi="Palatino Linotype"/>
              <w:b/>
              <w:sz w:val="22"/>
              <w:szCs w:val="22"/>
              <w:lang w:val="es-ES_tradnl"/>
            </w:rPr>
            <w:t xml:space="preserve"> </w:t>
          </w:r>
          <w:r>
            <w:rPr>
              <w:rFonts w:ascii="Palatino Linotype" w:hAnsi="Palatino Linotype"/>
              <w:b/>
              <w:sz w:val="22"/>
              <w:szCs w:val="22"/>
              <w:lang w:val="es-ES_tradnl"/>
            </w:rPr>
            <w:t>Xxxxxxxx Xxxx Xxxx</w:t>
          </w:r>
          <w:r w:rsidR="00E63999">
            <w:rPr>
              <w:rFonts w:ascii="Palatino Linotype" w:hAnsi="Palatino Linotype"/>
              <w:b/>
              <w:sz w:val="22"/>
              <w:szCs w:val="22"/>
              <w:lang w:val="es-ES_tradnl"/>
            </w:rPr>
            <w:t xml:space="preserve"> </w:t>
          </w:r>
        </w:p>
      </w:tc>
    </w:tr>
    <w:tr w:rsidR="00E63999" w14:paraId="22601A11" w14:textId="77777777" w:rsidTr="007E2BE8">
      <w:trPr>
        <w:trHeight w:val="228"/>
      </w:trPr>
      <w:tc>
        <w:tcPr>
          <w:tcW w:w="2551" w:type="dxa"/>
          <w:vAlign w:val="center"/>
          <w:hideMark/>
        </w:tcPr>
        <w:p w14:paraId="6EFE221D" w14:textId="77777777" w:rsidR="00E63999" w:rsidRDefault="00E6399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1F9D1AEE" w:rsidR="00E63999" w:rsidRPr="00F1346D" w:rsidRDefault="00E63999" w:rsidP="00863C85">
          <w:pPr>
            <w:jc w:val="both"/>
            <w:rPr>
              <w:rFonts w:ascii="Palatino Linotype" w:hAnsi="Palatino Linotype"/>
              <w:b/>
              <w:sz w:val="22"/>
              <w:szCs w:val="22"/>
              <w:lang w:val="es-ES_tradnl"/>
            </w:rPr>
          </w:pPr>
          <w:r>
            <w:rPr>
              <w:rFonts w:ascii="Palatino Linotype" w:hAnsi="Palatino Linotype"/>
              <w:b/>
              <w:bCs/>
              <w:color w:val="000000"/>
              <w:sz w:val="22"/>
              <w:szCs w:val="22"/>
            </w:rPr>
            <w:t xml:space="preserve">Ayuntamiento de </w:t>
          </w:r>
          <w:r w:rsidR="00863C85">
            <w:rPr>
              <w:rFonts w:ascii="Palatino Linotype" w:hAnsi="Palatino Linotype"/>
              <w:b/>
              <w:bCs/>
              <w:color w:val="000000"/>
              <w:sz w:val="22"/>
              <w:szCs w:val="22"/>
            </w:rPr>
            <w:t>Cocotitlán</w:t>
          </w:r>
        </w:p>
      </w:tc>
    </w:tr>
    <w:tr w:rsidR="00E63999" w14:paraId="2D6C630E" w14:textId="77777777" w:rsidTr="007E2BE8">
      <w:tc>
        <w:tcPr>
          <w:tcW w:w="2551" w:type="dxa"/>
          <w:vAlign w:val="center"/>
          <w:hideMark/>
        </w:tcPr>
        <w:p w14:paraId="5BD4C6DB" w14:textId="656677ED" w:rsidR="00E63999" w:rsidRDefault="00E6399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E63999" w:rsidRDefault="00E63999"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63999" w:rsidRDefault="00E6399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3D6"/>
    <w:multiLevelType w:val="hybridMultilevel"/>
    <w:tmpl w:val="E6D8A0CC"/>
    <w:lvl w:ilvl="0" w:tplc="6D7489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6775E"/>
    <w:multiLevelType w:val="hybridMultilevel"/>
    <w:tmpl w:val="642EAFF0"/>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37803"/>
    <w:multiLevelType w:val="hybridMultilevel"/>
    <w:tmpl w:val="CB6C9182"/>
    <w:lvl w:ilvl="0" w:tplc="12720CE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D6736B8"/>
    <w:multiLevelType w:val="hybridMultilevel"/>
    <w:tmpl w:val="0CCA2704"/>
    <w:lvl w:ilvl="0" w:tplc="557837EE">
      <w:start w:val="1"/>
      <w:numFmt w:val="upperRoman"/>
      <w:lvlText w:val="%1."/>
      <w:lvlJc w:val="left"/>
      <w:pPr>
        <w:ind w:left="2433" w:hanging="720"/>
      </w:pPr>
      <w:rPr>
        <w:rFonts w:hint="default"/>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6" w15:restartNumberingAfterBreak="0">
    <w:nsid w:val="202C6394"/>
    <w:multiLevelType w:val="hybridMultilevel"/>
    <w:tmpl w:val="E2021E10"/>
    <w:lvl w:ilvl="0" w:tplc="77C678BC">
      <w:start w:val="3"/>
      <w:numFmt w:val="upperRoman"/>
      <w:lvlText w:val="%1."/>
      <w:lvlJc w:val="left"/>
      <w:pPr>
        <w:ind w:left="720"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15:restartNumberingAfterBreak="0">
    <w:nsid w:val="38BD7C1B"/>
    <w:multiLevelType w:val="hybridMultilevel"/>
    <w:tmpl w:val="B23E6696"/>
    <w:lvl w:ilvl="0" w:tplc="65889E9C">
      <w:start w:val="6"/>
      <w:numFmt w:val="upperRoman"/>
      <w:lvlText w:val="%1."/>
      <w:lvlJc w:val="left"/>
      <w:pPr>
        <w:ind w:left="1713" w:hanging="720"/>
      </w:pPr>
      <w:rPr>
        <w:rFonts w:ascii="Palatino Linotype" w:hAnsi="Palatino Linotype" w:hint="default"/>
        <w:i/>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EB0774"/>
    <w:multiLevelType w:val="hybridMultilevel"/>
    <w:tmpl w:val="4D52BEC4"/>
    <w:lvl w:ilvl="0" w:tplc="5E509E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9C3E16"/>
    <w:multiLevelType w:val="hybridMultilevel"/>
    <w:tmpl w:val="6498B17E"/>
    <w:lvl w:ilvl="0" w:tplc="E0245832">
      <w:start w:val="1"/>
      <w:numFmt w:val="upperRoman"/>
      <w:lvlText w:val="%1."/>
      <w:lvlJc w:val="left"/>
      <w:pPr>
        <w:ind w:left="1713" w:hanging="720"/>
      </w:pPr>
      <w:rPr>
        <w:rFonts w:ascii="Palatino Linotype" w:hAnsi="Palatino Linotype" w:hint="default"/>
        <w:i/>
        <w:sz w:val="22"/>
        <w:szCs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B70222"/>
    <w:multiLevelType w:val="hybridMultilevel"/>
    <w:tmpl w:val="18FAA1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D82DA4"/>
    <w:multiLevelType w:val="hybridMultilevel"/>
    <w:tmpl w:val="481E397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75FC1E86"/>
    <w:multiLevelType w:val="hybridMultilevel"/>
    <w:tmpl w:val="45704714"/>
    <w:lvl w:ilvl="0" w:tplc="68D4EE3E">
      <w:start w:val="7"/>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11"/>
  </w:num>
  <w:num w:numId="2">
    <w:abstractNumId w:val="1"/>
  </w:num>
  <w:num w:numId="3">
    <w:abstractNumId w:val="12"/>
  </w:num>
  <w:num w:numId="4">
    <w:abstractNumId w:val="4"/>
  </w:num>
  <w:num w:numId="5">
    <w:abstractNumId w:val="13"/>
  </w:num>
  <w:num w:numId="6">
    <w:abstractNumId w:val="14"/>
  </w:num>
  <w:num w:numId="7">
    <w:abstractNumId w:val="8"/>
  </w:num>
  <w:num w:numId="8">
    <w:abstractNumId w:val="0"/>
  </w:num>
  <w:num w:numId="9">
    <w:abstractNumId w:val="2"/>
  </w:num>
  <w:num w:numId="10">
    <w:abstractNumId w:val="3"/>
  </w:num>
  <w:num w:numId="11">
    <w:abstractNumId w:val="9"/>
  </w:num>
  <w:num w:numId="12">
    <w:abstractNumId w:val="7"/>
  </w:num>
  <w:num w:numId="13">
    <w:abstractNumId w:val="6"/>
  </w:num>
  <w:num w:numId="14">
    <w:abstractNumId w:val="5"/>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961"/>
    <w:rsid w:val="00013D8B"/>
    <w:rsid w:val="000142A6"/>
    <w:rsid w:val="000163E2"/>
    <w:rsid w:val="00022DB0"/>
    <w:rsid w:val="00024F58"/>
    <w:rsid w:val="0002752B"/>
    <w:rsid w:val="00027800"/>
    <w:rsid w:val="00031A9E"/>
    <w:rsid w:val="000354B7"/>
    <w:rsid w:val="00037E4E"/>
    <w:rsid w:val="000403E5"/>
    <w:rsid w:val="000416BB"/>
    <w:rsid w:val="00041A20"/>
    <w:rsid w:val="00043E5D"/>
    <w:rsid w:val="0004420F"/>
    <w:rsid w:val="0004439C"/>
    <w:rsid w:val="00044836"/>
    <w:rsid w:val="000467EA"/>
    <w:rsid w:val="0005034C"/>
    <w:rsid w:val="000507B6"/>
    <w:rsid w:val="00051D02"/>
    <w:rsid w:val="00052FFB"/>
    <w:rsid w:val="00053482"/>
    <w:rsid w:val="000542C7"/>
    <w:rsid w:val="00054451"/>
    <w:rsid w:val="00054B4D"/>
    <w:rsid w:val="00055BCD"/>
    <w:rsid w:val="00060DA9"/>
    <w:rsid w:val="000623E5"/>
    <w:rsid w:val="000636BA"/>
    <w:rsid w:val="0006391A"/>
    <w:rsid w:val="000657E3"/>
    <w:rsid w:val="0006581C"/>
    <w:rsid w:val="000679F8"/>
    <w:rsid w:val="00067DA3"/>
    <w:rsid w:val="00071EFB"/>
    <w:rsid w:val="00073523"/>
    <w:rsid w:val="00073B46"/>
    <w:rsid w:val="00073BA4"/>
    <w:rsid w:val="00077CAA"/>
    <w:rsid w:val="00083430"/>
    <w:rsid w:val="0008542A"/>
    <w:rsid w:val="000861B5"/>
    <w:rsid w:val="00086D0F"/>
    <w:rsid w:val="0008792E"/>
    <w:rsid w:val="00087991"/>
    <w:rsid w:val="00087A2F"/>
    <w:rsid w:val="0009393F"/>
    <w:rsid w:val="0009491F"/>
    <w:rsid w:val="000955C2"/>
    <w:rsid w:val="00095E81"/>
    <w:rsid w:val="00096F4F"/>
    <w:rsid w:val="00097AE1"/>
    <w:rsid w:val="000A2711"/>
    <w:rsid w:val="000A57F2"/>
    <w:rsid w:val="000A5983"/>
    <w:rsid w:val="000A5987"/>
    <w:rsid w:val="000A70F6"/>
    <w:rsid w:val="000B0177"/>
    <w:rsid w:val="000B1945"/>
    <w:rsid w:val="000B2927"/>
    <w:rsid w:val="000B3A6A"/>
    <w:rsid w:val="000B3FFD"/>
    <w:rsid w:val="000B4FE8"/>
    <w:rsid w:val="000B6AD8"/>
    <w:rsid w:val="000C06EC"/>
    <w:rsid w:val="000C15E2"/>
    <w:rsid w:val="000C223E"/>
    <w:rsid w:val="000C2B90"/>
    <w:rsid w:val="000C2DC4"/>
    <w:rsid w:val="000C4453"/>
    <w:rsid w:val="000C4F0B"/>
    <w:rsid w:val="000C52FE"/>
    <w:rsid w:val="000C5EB9"/>
    <w:rsid w:val="000C658A"/>
    <w:rsid w:val="000C6B3B"/>
    <w:rsid w:val="000C7A6B"/>
    <w:rsid w:val="000D05A8"/>
    <w:rsid w:val="000D0875"/>
    <w:rsid w:val="000D1CE4"/>
    <w:rsid w:val="000D23E1"/>
    <w:rsid w:val="000D77F1"/>
    <w:rsid w:val="000D7802"/>
    <w:rsid w:val="000D7D54"/>
    <w:rsid w:val="000E0B0D"/>
    <w:rsid w:val="000E0D4C"/>
    <w:rsid w:val="000E2DE5"/>
    <w:rsid w:val="000E3C8A"/>
    <w:rsid w:val="000E5379"/>
    <w:rsid w:val="000E664C"/>
    <w:rsid w:val="000F128B"/>
    <w:rsid w:val="000F1515"/>
    <w:rsid w:val="000F1958"/>
    <w:rsid w:val="000F1F12"/>
    <w:rsid w:val="000F27A3"/>
    <w:rsid w:val="000F2894"/>
    <w:rsid w:val="000F2F55"/>
    <w:rsid w:val="000F3CA8"/>
    <w:rsid w:val="000F570C"/>
    <w:rsid w:val="000F6B89"/>
    <w:rsid w:val="00100085"/>
    <w:rsid w:val="00103284"/>
    <w:rsid w:val="001119A1"/>
    <w:rsid w:val="00111E67"/>
    <w:rsid w:val="001136B7"/>
    <w:rsid w:val="00113827"/>
    <w:rsid w:val="001145E0"/>
    <w:rsid w:val="00114D84"/>
    <w:rsid w:val="00114E1D"/>
    <w:rsid w:val="00114F4F"/>
    <w:rsid w:val="00114FD0"/>
    <w:rsid w:val="00116167"/>
    <w:rsid w:val="00117722"/>
    <w:rsid w:val="00120FE3"/>
    <w:rsid w:val="00121C77"/>
    <w:rsid w:val="0012482F"/>
    <w:rsid w:val="00131A23"/>
    <w:rsid w:val="0013246E"/>
    <w:rsid w:val="00135834"/>
    <w:rsid w:val="00135983"/>
    <w:rsid w:val="00135ADB"/>
    <w:rsid w:val="00137EEF"/>
    <w:rsid w:val="001409A7"/>
    <w:rsid w:val="00145BF8"/>
    <w:rsid w:val="00150121"/>
    <w:rsid w:val="00152D6D"/>
    <w:rsid w:val="00152EB9"/>
    <w:rsid w:val="00154A89"/>
    <w:rsid w:val="00155EE8"/>
    <w:rsid w:val="0016185D"/>
    <w:rsid w:val="001623C4"/>
    <w:rsid w:val="00164786"/>
    <w:rsid w:val="001650BF"/>
    <w:rsid w:val="00170FBF"/>
    <w:rsid w:val="0017334A"/>
    <w:rsid w:val="00175B49"/>
    <w:rsid w:val="001764BD"/>
    <w:rsid w:val="00176A2B"/>
    <w:rsid w:val="00180D3F"/>
    <w:rsid w:val="00181731"/>
    <w:rsid w:val="00185F5E"/>
    <w:rsid w:val="00186D39"/>
    <w:rsid w:val="001877E3"/>
    <w:rsid w:val="001910A9"/>
    <w:rsid w:val="00194BAB"/>
    <w:rsid w:val="001A211D"/>
    <w:rsid w:val="001A4247"/>
    <w:rsid w:val="001A4321"/>
    <w:rsid w:val="001A4AAA"/>
    <w:rsid w:val="001A523B"/>
    <w:rsid w:val="001A6401"/>
    <w:rsid w:val="001A6692"/>
    <w:rsid w:val="001A750D"/>
    <w:rsid w:val="001B4CEE"/>
    <w:rsid w:val="001C302C"/>
    <w:rsid w:val="001C32EB"/>
    <w:rsid w:val="001C5D0A"/>
    <w:rsid w:val="001D05B8"/>
    <w:rsid w:val="001D541C"/>
    <w:rsid w:val="001D546F"/>
    <w:rsid w:val="001D5E49"/>
    <w:rsid w:val="001D6C31"/>
    <w:rsid w:val="001D6CB0"/>
    <w:rsid w:val="001E1AF2"/>
    <w:rsid w:val="001E27A2"/>
    <w:rsid w:val="001E7A4B"/>
    <w:rsid w:val="001E7F56"/>
    <w:rsid w:val="001F7359"/>
    <w:rsid w:val="00200379"/>
    <w:rsid w:val="002004A4"/>
    <w:rsid w:val="002009A8"/>
    <w:rsid w:val="00201843"/>
    <w:rsid w:val="00202CDF"/>
    <w:rsid w:val="002045D9"/>
    <w:rsid w:val="00205AEA"/>
    <w:rsid w:val="00205E96"/>
    <w:rsid w:val="00210DA6"/>
    <w:rsid w:val="00213118"/>
    <w:rsid w:val="00215F29"/>
    <w:rsid w:val="002168F1"/>
    <w:rsid w:val="002175B2"/>
    <w:rsid w:val="002207F0"/>
    <w:rsid w:val="00220958"/>
    <w:rsid w:val="00220F0D"/>
    <w:rsid w:val="00221FB8"/>
    <w:rsid w:val="00224F8A"/>
    <w:rsid w:val="0022501F"/>
    <w:rsid w:val="00227C43"/>
    <w:rsid w:val="00230593"/>
    <w:rsid w:val="00230740"/>
    <w:rsid w:val="0023264F"/>
    <w:rsid w:val="002328ED"/>
    <w:rsid w:val="00235FA6"/>
    <w:rsid w:val="002373CE"/>
    <w:rsid w:val="0024021F"/>
    <w:rsid w:val="002433B4"/>
    <w:rsid w:val="002433EF"/>
    <w:rsid w:val="002534E4"/>
    <w:rsid w:val="0025352F"/>
    <w:rsid w:val="00255050"/>
    <w:rsid w:val="002551B1"/>
    <w:rsid w:val="0026123F"/>
    <w:rsid w:val="002612A6"/>
    <w:rsid w:val="00261EE8"/>
    <w:rsid w:val="0026350A"/>
    <w:rsid w:val="00263841"/>
    <w:rsid w:val="00263E26"/>
    <w:rsid w:val="00264F53"/>
    <w:rsid w:val="00264F5F"/>
    <w:rsid w:val="002650F0"/>
    <w:rsid w:val="002661F1"/>
    <w:rsid w:val="00266463"/>
    <w:rsid w:val="0026697E"/>
    <w:rsid w:val="00275929"/>
    <w:rsid w:val="002774F3"/>
    <w:rsid w:val="00280EE2"/>
    <w:rsid w:val="002829D3"/>
    <w:rsid w:val="00284B27"/>
    <w:rsid w:val="00286DFC"/>
    <w:rsid w:val="002901AF"/>
    <w:rsid w:val="00290B7F"/>
    <w:rsid w:val="00292319"/>
    <w:rsid w:val="00292800"/>
    <w:rsid w:val="00293935"/>
    <w:rsid w:val="00293999"/>
    <w:rsid w:val="00293B56"/>
    <w:rsid w:val="00297FF2"/>
    <w:rsid w:val="002A091E"/>
    <w:rsid w:val="002A3170"/>
    <w:rsid w:val="002A3355"/>
    <w:rsid w:val="002A397A"/>
    <w:rsid w:val="002A3A0D"/>
    <w:rsid w:val="002A6D97"/>
    <w:rsid w:val="002B043C"/>
    <w:rsid w:val="002B5A01"/>
    <w:rsid w:val="002B5C0B"/>
    <w:rsid w:val="002B6758"/>
    <w:rsid w:val="002B6C95"/>
    <w:rsid w:val="002B72E1"/>
    <w:rsid w:val="002B733C"/>
    <w:rsid w:val="002C0312"/>
    <w:rsid w:val="002C345F"/>
    <w:rsid w:val="002C361C"/>
    <w:rsid w:val="002C6154"/>
    <w:rsid w:val="002D0733"/>
    <w:rsid w:val="002D2D74"/>
    <w:rsid w:val="002D550A"/>
    <w:rsid w:val="002D5D77"/>
    <w:rsid w:val="002D6B0B"/>
    <w:rsid w:val="002E0FAE"/>
    <w:rsid w:val="002E1568"/>
    <w:rsid w:val="002E260B"/>
    <w:rsid w:val="002E475B"/>
    <w:rsid w:val="002E61CF"/>
    <w:rsid w:val="002E6DF8"/>
    <w:rsid w:val="002F04C5"/>
    <w:rsid w:val="002F0818"/>
    <w:rsid w:val="002F08C6"/>
    <w:rsid w:val="002F128C"/>
    <w:rsid w:val="002F242D"/>
    <w:rsid w:val="002F26DE"/>
    <w:rsid w:val="002F546F"/>
    <w:rsid w:val="002F583B"/>
    <w:rsid w:val="002F58D0"/>
    <w:rsid w:val="00302B72"/>
    <w:rsid w:val="003059AC"/>
    <w:rsid w:val="00305C16"/>
    <w:rsid w:val="003062A2"/>
    <w:rsid w:val="003111DF"/>
    <w:rsid w:val="00311EA8"/>
    <w:rsid w:val="003130CE"/>
    <w:rsid w:val="003164B0"/>
    <w:rsid w:val="00317987"/>
    <w:rsid w:val="00322A09"/>
    <w:rsid w:val="00323309"/>
    <w:rsid w:val="003245BF"/>
    <w:rsid w:val="00325833"/>
    <w:rsid w:val="00326031"/>
    <w:rsid w:val="0033029F"/>
    <w:rsid w:val="003316F9"/>
    <w:rsid w:val="0033559E"/>
    <w:rsid w:val="003358DE"/>
    <w:rsid w:val="003412C2"/>
    <w:rsid w:val="00341718"/>
    <w:rsid w:val="00343ED6"/>
    <w:rsid w:val="00344721"/>
    <w:rsid w:val="00345234"/>
    <w:rsid w:val="00345E3B"/>
    <w:rsid w:val="00350C3A"/>
    <w:rsid w:val="00350D0A"/>
    <w:rsid w:val="003515B5"/>
    <w:rsid w:val="00351613"/>
    <w:rsid w:val="00352755"/>
    <w:rsid w:val="00360174"/>
    <w:rsid w:val="00360C3E"/>
    <w:rsid w:val="00361C46"/>
    <w:rsid w:val="003632C8"/>
    <w:rsid w:val="00363F3A"/>
    <w:rsid w:val="003657E8"/>
    <w:rsid w:val="00370254"/>
    <w:rsid w:val="00372792"/>
    <w:rsid w:val="00373004"/>
    <w:rsid w:val="003737DD"/>
    <w:rsid w:val="0037499B"/>
    <w:rsid w:val="00375B4E"/>
    <w:rsid w:val="00376685"/>
    <w:rsid w:val="00390B9F"/>
    <w:rsid w:val="00391A7B"/>
    <w:rsid w:val="00393A05"/>
    <w:rsid w:val="0039618B"/>
    <w:rsid w:val="0039701C"/>
    <w:rsid w:val="003A397A"/>
    <w:rsid w:val="003A505A"/>
    <w:rsid w:val="003A56DE"/>
    <w:rsid w:val="003A7B01"/>
    <w:rsid w:val="003A7F60"/>
    <w:rsid w:val="003B270A"/>
    <w:rsid w:val="003B6704"/>
    <w:rsid w:val="003C064D"/>
    <w:rsid w:val="003C097C"/>
    <w:rsid w:val="003C7890"/>
    <w:rsid w:val="003D0CAD"/>
    <w:rsid w:val="003D3669"/>
    <w:rsid w:val="003D5261"/>
    <w:rsid w:val="003D5392"/>
    <w:rsid w:val="003E169B"/>
    <w:rsid w:val="003E25E5"/>
    <w:rsid w:val="003E2AEE"/>
    <w:rsid w:val="003E2DB9"/>
    <w:rsid w:val="003E3309"/>
    <w:rsid w:val="003E68C4"/>
    <w:rsid w:val="003E6ADA"/>
    <w:rsid w:val="003E7FB4"/>
    <w:rsid w:val="003F3551"/>
    <w:rsid w:val="003F7CA2"/>
    <w:rsid w:val="0040061F"/>
    <w:rsid w:val="00403B17"/>
    <w:rsid w:val="00403BE6"/>
    <w:rsid w:val="00405DD8"/>
    <w:rsid w:val="004063AE"/>
    <w:rsid w:val="00411EF1"/>
    <w:rsid w:val="00412F99"/>
    <w:rsid w:val="004136B2"/>
    <w:rsid w:val="00415E56"/>
    <w:rsid w:val="00417A18"/>
    <w:rsid w:val="00417CEB"/>
    <w:rsid w:val="00421BCC"/>
    <w:rsid w:val="00422EF2"/>
    <w:rsid w:val="00424E3A"/>
    <w:rsid w:val="0042554F"/>
    <w:rsid w:val="00425800"/>
    <w:rsid w:val="00426DC4"/>
    <w:rsid w:val="004349CB"/>
    <w:rsid w:val="00434DA7"/>
    <w:rsid w:val="00435296"/>
    <w:rsid w:val="004352B9"/>
    <w:rsid w:val="004353C8"/>
    <w:rsid w:val="004379B4"/>
    <w:rsid w:val="00440F78"/>
    <w:rsid w:val="004415DC"/>
    <w:rsid w:val="0044547C"/>
    <w:rsid w:val="00446B99"/>
    <w:rsid w:val="004514C2"/>
    <w:rsid w:val="00451EBC"/>
    <w:rsid w:val="004530E9"/>
    <w:rsid w:val="00454B4C"/>
    <w:rsid w:val="004559FA"/>
    <w:rsid w:val="00456125"/>
    <w:rsid w:val="004569BD"/>
    <w:rsid w:val="004612ED"/>
    <w:rsid w:val="004640A9"/>
    <w:rsid w:val="004642D1"/>
    <w:rsid w:val="00464C4A"/>
    <w:rsid w:val="00466025"/>
    <w:rsid w:val="00467C07"/>
    <w:rsid w:val="0047014C"/>
    <w:rsid w:val="004706C8"/>
    <w:rsid w:val="004736C8"/>
    <w:rsid w:val="00473882"/>
    <w:rsid w:val="00473A67"/>
    <w:rsid w:val="004756D0"/>
    <w:rsid w:val="0047648E"/>
    <w:rsid w:val="00476B0D"/>
    <w:rsid w:val="00476E9D"/>
    <w:rsid w:val="0047739C"/>
    <w:rsid w:val="0047785E"/>
    <w:rsid w:val="00477874"/>
    <w:rsid w:val="00480540"/>
    <w:rsid w:val="00480BD4"/>
    <w:rsid w:val="004817F9"/>
    <w:rsid w:val="004836A2"/>
    <w:rsid w:val="00483A1C"/>
    <w:rsid w:val="00484663"/>
    <w:rsid w:val="0048628A"/>
    <w:rsid w:val="00486BD3"/>
    <w:rsid w:val="00487F15"/>
    <w:rsid w:val="004906C6"/>
    <w:rsid w:val="00491A66"/>
    <w:rsid w:val="004937D6"/>
    <w:rsid w:val="004945C6"/>
    <w:rsid w:val="00495752"/>
    <w:rsid w:val="00496AE4"/>
    <w:rsid w:val="00497753"/>
    <w:rsid w:val="004A0C64"/>
    <w:rsid w:val="004A10CD"/>
    <w:rsid w:val="004A21C5"/>
    <w:rsid w:val="004A2300"/>
    <w:rsid w:val="004A284F"/>
    <w:rsid w:val="004A2EBF"/>
    <w:rsid w:val="004A2F4D"/>
    <w:rsid w:val="004B0E19"/>
    <w:rsid w:val="004B2513"/>
    <w:rsid w:val="004B3628"/>
    <w:rsid w:val="004B44CC"/>
    <w:rsid w:val="004B68FE"/>
    <w:rsid w:val="004C1450"/>
    <w:rsid w:val="004C182F"/>
    <w:rsid w:val="004C1E98"/>
    <w:rsid w:val="004C2D46"/>
    <w:rsid w:val="004C4462"/>
    <w:rsid w:val="004C67D0"/>
    <w:rsid w:val="004D0A26"/>
    <w:rsid w:val="004D422B"/>
    <w:rsid w:val="004D5493"/>
    <w:rsid w:val="004D5594"/>
    <w:rsid w:val="004D576E"/>
    <w:rsid w:val="004E7785"/>
    <w:rsid w:val="004F101E"/>
    <w:rsid w:val="004F2BE9"/>
    <w:rsid w:val="004F4A54"/>
    <w:rsid w:val="004F6DE4"/>
    <w:rsid w:val="004F7587"/>
    <w:rsid w:val="004F7CA4"/>
    <w:rsid w:val="00503050"/>
    <w:rsid w:val="00504EE9"/>
    <w:rsid w:val="00506B12"/>
    <w:rsid w:val="005106D8"/>
    <w:rsid w:val="00511714"/>
    <w:rsid w:val="00511C73"/>
    <w:rsid w:val="0051306F"/>
    <w:rsid w:val="005215E1"/>
    <w:rsid w:val="00522C1B"/>
    <w:rsid w:val="0052345A"/>
    <w:rsid w:val="00525DE6"/>
    <w:rsid w:val="00525FB3"/>
    <w:rsid w:val="005302BE"/>
    <w:rsid w:val="00531716"/>
    <w:rsid w:val="00532430"/>
    <w:rsid w:val="00533D3A"/>
    <w:rsid w:val="005347A7"/>
    <w:rsid w:val="00537493"/>
    <w:rsid w:val="00537621"/>
    <w:rsid w:val="00541592"/>
    <w:rsid w:val="005434A9"/>
    <w:rsid w:val="005436CD"/>
    <w:rsid w:val="005442D6"/>
    <w:rsid w:val="005457D7"/>
    <w:rsid w:val="0054655C"/>
    <w:rsid w:val="005509B1"/>
    <w:rsid w:val="00551230"/>
    <w:rsid w:val="00552E43"/>
    <w:rsid w:val="00553576"/>
    <w:rsid w:val="00553C75"/>
    <w:rsid w:val="00553CA8"/>
    <w:rsid w:val="005542B0"/>
    <w:rsid w:val="00554349"/>
    <w:rsid w:val="005564A2"/>
    <w:rsid w:val="00556D4F"/>
    <w:rsid w:val="00556E6F"/>
    <w:rsid w:val="00560589"/>
    <w:rsid w:val="00561EAB"/>
    <w:rsid w:val="005633AD"/>
    <w:rsid w:val="00563D75"/>
    <w:rsid w:val="00564E97"/>
    <w:rsid w:val="005653C4"/>
    <w:rsid w:val="0057032D"/>
    <w:rsid w:val="00573C2A"/>
    <w:rsid w:val="00576F16"/>
    <w:rsid w:val="00577907"/>
    <w:rsid w:val="00577B41"/>
    <w:rsid w:val="00580BC2"/>
    <w:rsid w:val="00581192"/>
    <w:rsid w:val="0058160D"/>
    <w:rsid w:val="00582674"/>
    <w:rsid w:val="005826AB"/>
    <w:rsid w:val="00582972"/>
    <w:rsid w:val="00582D16"/>
    <w:rsid w:val="005830EA"/>
    <w:rsid w:val="00583E05"/>
    <w:rsid w:val="00584687"/>
    <w:rsid w:val="00584EBE"/>
    <w:rsid w:val="005901A1"/>
    <w:rsid w:val="00591A91"/>
    <w:rsid w:val="00591F82"/>
    <w:rsid w:val="005A5205"/>
    <w:rsid w:val="005A560A"/>
    <w:rsid w:val="005B03F8"/>
    <w:rsid w:val="005B1FBB"/>
    <w:rsid w:val="005B345E"/>
    <w:rsid w:val="005B36BD"/>
    <w:rsid w:val="005B3F0C"/>
    <w:rsid w:val="005B4ADA"/>
    <w:rsid w:val="005B592D"/>
    <w:rsid w:val="005B6C79"/>
    <w:rsid w:val="005B7BD2"/>
    <w:rsid w:val="005C1891"/>
    <w:rsid w:val="005C4682"/>
    <w:rsid w:val="005C55AE"/>
    <w:rsid w:val="005C7879"/>
    <w:rsid w:val="005D053F"/>
    <w:rsid w:val="005D245E"/>
    <w:rsid w:val="005D4AFA"/>
    <w:rsid w:val="005D6234"/>
    <w:rsid w:val="005D6D42"/>
    <w:rsid w:val="005D7028"/>
    <w:rsid w:val="005D7826"/>
    <w:rsid w:val="005E025A"/>
    <w:rsid w:val="005E3D09"/>
    <w:rsid w:val="005E5433"/>
    <w:rsid w:val="005E6BF5"/>
    <w:rsid w:val="005F04E7"/>
    <w:rsid w:val="005F0FAF"/>
    <w:rsid w:val="005F5D92"/>
    <w:rsid w:val="005F5F7F"/>
    <w:rsid w:val="00602359"/>
    <w:rsid w:val="00603DA7"/>
    <w:rsid w:val="006041B7"/>
    <w:rsid w:val="00604BF6"/>
    <w:rsid w:val="00606585"/>
    <w:rsid w:val="00606939"/>
    <w:rsid w:val="00606BE0"/>
    <w:rsid w:val="00607E69"/>
    <w:rsid w:val="006102D4"/>
    <w:rsid w:val="0061174B"/>
    <w:rsid w:val="00613D0E"/>
    <w:rsid w:val="006159B8"/>
    <w:rsid w:val="00624A65"/>
    <w:rsid w:val="006267FA"/>
    <w:rsid w:val="0063009C"/>
    <w:rsid w:val="006315D4"/>
    <w:rsid w:val="00634485"/>
    <w:rsid w:val="00636023"/>
    <w:rsid w:val="00636F39"/>
    <w:rsid w:val="00637249"/>
    <w:rsid w:val="0063754F"/>
    <w:rsid w:val="006439F3"/>
    <w:rsid w:val="00646020"/>
    <w:rsid w:val="0064744A"/>
    <w:rsid w:val="0065116F"/>
    <w:rsid w:val="0065130B"/>
    <w:rsid w:val="0065133A"/>
    <w:rsid w:val="00652DED"/>
    <w:rsid w:val="00660310"/>
    <w:rsid w:val="00662D5A"/>
    <w:rsid w:val="00662FB1"/>
    <w:rsid w:val="00674858"/>
    <w:rsid w:val="0067588A"/>
    <w:rsid w:val="00676A20"/>
    <w:rsid w:val="00676C7A"/>
    <w:rsid w:val="00676F9F"/>
    <w:rsid w:val="0067754F"/>
    <w:rsid w:val="00677BDD"/>
    <w:rsid w:val="00682CC0"/>
    <w:rsid w:val="00682E33"/>
    <w:rsid w:val="00683FF4"/>
    <w:rsid w:val="00685D2F"/>
    <w:rsid w:val="00686A22"/>
    <w:rsid w:val="00686A8A"/>
    <w:rsid w:val="00687E13"/>
    <w:rsid w:val="00693254"/>
    <w:rsid w:val="006932CB"/>
    <w:rsid w:val="0069419E"/>
    <w:rsid w:val="00695FEE"/>
    <w:rsid w:val="00696A49"/>
    <w:rsid w:val="006A1780"/>
    <w:rsid w:val="006A1EA6"/>
    <w:rsid w:val="006A3B1A"/>
    <w:rsid w:val="006A554E"/>
    <w:rsid w:val="006A6078"/>
    <w:rsid w:val="006A66F8"/>
    <w:rsid w:val="006B0DBD"/>
    <w:rsid w:val="006B1316"/>
    <w:rsid w:val="006B2B26"/>
    <w:rsid w:val="006B34A2"/>
    <w:rsid w:val="006B3541"/>
    <w:rsid w:val="006B4B3F"/>
    <w:rsid w:val="006B5FF0"/>
    <w:rsid w:val="006B6B6C"/>
    <w:rsid w:val="006C0F6B"/>
    <w:rsid w:val="006C22D3"/>
    <w:rsid w:val="006C3DC6"/>
    <w:rsid w:val="006C4621"/>
    <w:rsid w:val="006C6F20"/>
    <w:rsid w:val="006C7D11"/>
    <w:rsid w:val="006D57AB"/>
    <w:rsid w:val="006D5B42"/>
    <w:rsid w:val="006D709E"/>
    <w:rsid w:val="006D7F54"/>
    <w:rsid w:val="006E0CD5"/>
    <w:rsid w:val="006E2945"/>
    <w:rsid w:val="006E2B0C"/>
    <w:rsid w:val="006E57D4"/>
    <w:rsid w:val="006E6389"/>
    <w:rsid w:val="006E69A4"/>
    <w:rsid w:val="006F1182"/>
    <w:rsid w:val="006F2374"/>
    <w:rsid w:val="006F2B3D"/>
    <w:rsid w:val="006F30F8"/>
    <w:rsid w:val="00702F37"/>
    <w:rsid w:val="00702F82"/>
    <w:rsid w:val="0071019F"/>
    <w:rsid w:val="0071029B"/>
    <w:rsid w:val="00714512"/>
    <w:rsid w:val="00716D27"/>
    <w:rsid w:val="00720E0F"/>
    <w:rsid w:val="00721A45"/>
    <w:rsid w:val="00723651"/>
    <w:rsid w:val="00724B06"/>
    <w:rsid w:val="00727EC8"/>
    <w:rsid w:val="00730024"/>
    <w:rsid w:val="0073166F"/>
    <w:rsid w:val="00731C38"/>
    <w:rsid w:val="00733498"/>
    <w:rsid w:val="007339EF"/>
    <w:rsid w:val="00734B70"/>
    <w:rsid w:val="00735132"/>
    <w:rsid w:val="007354E7"/>
    <w:rsid w:val="00735E7C"/>
    <w:rsid w:val="00735FAA"/>
    <w:rsid w:val="00736C06"/>
    <w:rsid w:val="00740D10"/>
    <w:rsid w:val="007410C3"/>
    <w:rsid w:val="00741F3B"/>
    <w:rsid w:val="007435D6"/>
    <w:rsid w:val="00743800"/>
    <w:rsid w:val="00743E18"/>
    <w:rsid w:val="00744BE7"/>
    <w:rsid w:val="00745274"/>
    <w:rsid w:val="0075421F"/>
    <w:rsid w:val="00754ABE"/>
    <w:rsid w:val="00754F0B"/>
    <w:rsid w:val="00757924"/>
    <w:rsid w:val="00757C2D"/>
    <w:rsid w:val="007609DF"/>
    <w:rsid w:val="00760CC2"/>
    <w:rsid w:val="0076141F"/>
    <w:rsid w:val="007631E9"/>
    <w:rsid w:val="00763AC3"/>
    <w:rsid w:val="00766CA7"/>
    <w:rsid w:val="0076745C"/>
    <w:rsid w:val="00771543"/>
    <w:rsid w:val="0077203A"/>
    <w:rsid w:val="0077496D"/>
    <w:rsid w:val="007770D8"/>
    <w:rsid w:val="00777F72"/>
    <w:rsid w:val="007835F3"/>
    <w:rsid w:val="00785B60"/>
    <w:rsid w:val="00787C5F"/>
    <w:rsid w:val="007907E7"/>
    <w:rsid w:val="00791155"/>
    <w:rsid w:val="00791430"/>
    <w:rsid w:val="00794553"/>
    <w:rsid w:val="0079743B"/>
    <w:rsid w:val="007A18BB"/>
    <w:rsid w:val="007A2187"/>
    <w:rsid w:val="007A2913"/>
    <w:rsid w:val="007A34D5"/>
    <w:rsid w:val="007A49A0"/>
    <w:rsid w:val="007A713D"/>
    <w:rsid w:val="007A73BE"/>
    <w:rsid w:val="007A7B20"/>
    <w:rsid w:val="007B1FF9"/>
    <w:rsid w:val="007B36AA"/>
    <w:rsid w:val="007B584D"/>
    <w:rsid w:val="007C06FD"/>
    <w:rsid w:val="007C2AA9"/>
    <w:rsid w:val="007C3045"/>
    <w:rsid w:val="007C3092"/>
    <w:rsid w:val="007C7783"/>
    <w:rsid w:val="007D1D57"/>
    <w:rsid w:val="007D305A"/>
    <w:rsid w:val="007D4AA6"/>
    <w:rsid w:val="007D66BA"/>
    <w:rsid w:val="007D6C06"/>
    <w:rsid w:val="007E131E"/>
    <w:rsid w:val="007E27E3"/>
    <w:rsid w:val="007E2BE8"/>
    <w:rsid w:val="007E3C00"/>
    <w:rsid w:val="007E406A"/>
    <w:rsid w:val="007F0396"/>
    <w:rsid w:val="007F528B"/>
    <w:rsid w:val="007F67B9"/>
    <w:rsid w:val="00803D96"/>
    <w:rsid w:val="00805F3D"/>
    <w:rsid w:val="0080766E"/>
    <w:rsid w:val="00807CCB"/>
    <w:rsid w:val="0081147D"/>
    <w:rsid w:val="0081205D"/>
    <w:rsid w:val="00813EBD"/>
    <w:rsid w:val="008176B3"/>
    <w:rsid w:val="00817821"/>
    <w:rsid w:val="00820F0E"/>
    <w:rsid w:val="00821D79"/>
    <w:rsid w:val="00823116"/>
    <w:rsid w:val="00823D17"/>
    <w:rsid w:val="00825CF4"/>
    <w:rsid w:val="00825EB2"/>
    <w:rsid w:val="0083040F"/>
    <w:rsid w:val="00832901"/>
    <w:rsid w:val="008331EF"/>
    <w:rsid w:val="00836636"/>
    <w:rsid w:val="00840665"/>
    <w:rsid w:val="00843A45"/>
    <w:rsid w:val="00845368"/>
    <w:rsid w:val="00845D5D"/>
    <w:rsid w:val="00845E7C"/>
    <w:rsid w:val="00847431"/>
    <w:rsid w:val="00852765"/>
    <w:rsid w:val="008545B9"/>
    <w:rsid w:val="008572F0"/>
    <w:rsid w:val="00860343"/>
    <w:rsid w:val="00860AD2"/>
    <w:rsid w:val="00863C85"/>
    <w:rsid w:val="0086510C"/>
    <w:rsid w:val="00865AB3"/>
    <w:rsid w:val="00870DDE"/>
    <w:rsid w:val="00871814"/>
    <w:rsid w:val="008718F3"/>
    <w:rsid w:val="008721DB"/>
    <w:rsid w:val="0087270F"/>
    <w:rsid w:val="00873A70"/>
    <w:rsid w:val="00875EE5"/>
    <w:rsid w:val="00880CEA"/>
    <w:rsid w:val="008824C4"/>
    <w:rsid w:val="00883017"/>
    <w:rsid w:val="008834E3"/>
    <w:rsid w:val="00883A1F"/>
    <w:rsid w:val="00886C6E"/>
    <w:rsid w:val="008900BC"/>
    <w:rsid w:val="00891775"/>
    <w:rsid w:val="00891BEC"/>
    <w:rsid w:val="00892AFC"/>
    <w:rsid w:val="00893071"/>
    <w:rsid w:val="00894541"/>
    <w:rsid w:val="0089499F"/>
    <w:rsid w:val="00897611"/>
    <w:rsid w:val="008A0D1F"/>
    <w:rsid w:val="008A1C25"/>
    <w:rsid w:val="008A1FE7"/>
    <w:rsid w:val="008A3400"/>
    <w:rsid w:val="008A3593"/>
    <w:rsid w:val="008A49F2"/>
    <w:rsid w:val="008B1FB0"/>
    <w:rsid w:val="008B2029"/>
    <w:rsid w:val="008B3EED"/>
    <w:rsid w:val="008B6CD3"/>
    <w:rsid w:val="008B784E"/>
    <w:rsid w:val="008B78C6"/>
    <w:rsid w:val="008C0A06"/>
    <w:rsid w:val="008C0B1E"/>
    <w:rsid w:val="008C1B85"/>
    <w:rsid w:val="008C263F"/>
    <w:rsid w:val="008C3674"/>
    <w:rsid w:val="008C550D"/>
    <w:rsid w:val="008D1526"/>
    <w:rsid w:val="008D5488"/>
    <w:rsid w:val="008E04BB"/>
    <w:rsid w:val="008E20E3"/>
    <w:rsid w:val="008E64B7"/>
    <w:rsid w:val="008E6E98"/>
    <w:rsid w:val="008E714A"/>
    <w:rsid w:val="008E716B"/>
    <w:rsid w:val="008F0925"/>
    <w:rsid w:val="008F0A05"/>
    <w:rsid w:val="008F0F5A"/>
    <w:rsid w:val="008F57F9"/>
    <w:rsid w:val="008F6A57"/>
    <w:rsid w:val="00901152"/>
    <w:rsid w:val="009017A8"/>
    <w:rsid w:val="009042FC"/>
    <w:rsid w:val="00904D56"/>
    <w:rsid w:val="00904ED9"/>
    <w:rsid w:val="00907F7B"/>
    <w:rsid w:val="00911102"/>
    <w:rsid w:val="00912D93"/>
    <w:rsid w:val="00914F3A"/>
    <w:rsid w:val="00914F3F"/>
    <w:rsid w:val="00915548"/>
    <w:rsid w:val="00917286"/>
    <w:rsid w:val="00920AEE"/>
    <w:rsid w:val="00922E89"/>
    <w:rsid w:val="0092387E"/>
    <w:rsid w:val="009251B9"/>
    <w:rsid w:val="009255F3"/>
    <w:rsid w:val="009257C7"/>
    <w:rsid w:val="0092772C"/>
    <w:rsid w:val="00932904"/>
    <w:rsid w:val="0093333E"/>
    <w:rsid w:val="00935A0D"/>
    <w:rsid w:val="00936977"/>
    <w:rsid w:val="00940311"/>
    <w:rsid w:val="0094116E"/>
    <w:rsid w:val="009413B1"/>
    <w:rsid w:val="00942EE5"/>
    <w:rsid w:val="00943CDF"/>
    <w:rsid w:val="00944A0F"/>
    <w:rsid w:val="00944CA2"/>
    <w:rsid w:val="00945246"/>
    <w:rsid w:val="00945611"/>
    <w:rsid w:val="00945BE0"/>
    <w:rsid w:val="0094776B"/>
    <w:rsid w:val="0095036E"/>
    <w:rsid w:val="0095109A"/>
    <w:rsid w:val="00955483"/>
    <w:rsid w:val="00955754"/>
    <w:rsid w:val="00956155"/>
    <w:rsid w:val="009569D8"/>
    <w:rsid w:val="00956D62"/>
    <w:rsid w:val="0096175D"/>
    <w:rsid w:val="0096350C"/>
    <w:rsid w:val="00964397"/>
    <w:rsid w:val="0096573A"/>
    <w:rsid w:val="00965E53"/>
    <w:rsid w:val="009707AE"/>
    <w:rsid w:val="00971658"/>
    <w:rsid w:val="00971BD9"/>
    <w:rsid w:val="00971D31"/>
    <w:rsid w:val="00975EB9"/>
    <w:rsid w:val="0098068E"/>
    <w:rsid w:val="00980B26"/>
    <w:rsid w:val="009838C8"/>
    <w:rsid w:val="00983A88"/>
    <w:rsid w:val="009869AF"/>
    <w:rsid w:val="00986E8F"/>
    <w:rsid w:val="009904D4"/>
    <w:rsid w:val="00991316"/>
    <w:rsid w:val="00991BFD"/>
    <w:rsid w:val="00992CAB"/>
    <w:rsid w:val="00993058"/>
    <w:rsid w:val="009961B4"/>
    <w:rsid w:val="009A1810"/>
    <w:rsid w:val="009A65F3"/>
    <w:rsid w:val="009A6C40"/>
    <w:rsid w:val="009B1592"/>
    <w:rsid w:val="009B1B4F"/>
    <w:rsid w:val="009B21C8"/>
    <w:rsid w:val="009B5C0F"/>
    <w:rsid w:val="009B5D9D"/>
    <w:rsid w:val="009B619C"/>
    <w:rsid w:val="009B6574"/>
    <w:rsid w:val="009B70F3"/>
    <w:rsid w:val="009C1843"/>
    <w:rsid w:val="009C1A6A"/>
    <w:rsid w:val="009C229C"/>
    <w:rsid w:val="009C2616"/>
    <w:rsid w:val="009C29BB"/>
    <w:rsid w:val="009C62EE"/>
    <w:rsid w:val="009C664C"/>
    <w:rsid w:val="009C769C"/>
    <w:rsid w:val="009D039B"/>
    <w:rsid w:val="009D08F7"/>
    <w:rsid w:val="009D0C41"/>
    <w:rsid w:val="009D2140"/>
    <w:rsid w:val="009D2C3E"/>
    <w:rsid w:val="009D4854"/>
    <w:rsid w:val="009D55F7"/>
    <w:rsid w:val="009D7A5F"/>
    <w:rsid w:val="009E0776"/>
    <w:rsid w:val="009E4D8E"/>
    <w:rsid w:val="009E5A7D"/>
    <w:rsid w:val="009F297B"/>
    <w:rsid w:val="009F30E0"/>
    <w:rsid w:val="009F65E9"/>
    <w:rsid w:val="00A00684"/>
    <w:rsid w:val="00A00B46"/>
    <w:rsid w:val="00A0494C"/>
    <w:rsid w:val="00A04D53"/>
    <w:rsid w:val="00A04F99"/>
    <w:rsid w:val="00A055C5"/>
    <w:rsid w:val="00A0600E"/>
    <w:rsid w:val="00A10211"/>
    <w:rsid w:val="00A121C7"/>
    <w:rsid w:val="00A12C94"/>
    <w:rsid w:val="00A135CC"/>
    <w:rsid w:val="00A138DC"/>
    <w:rsid w:val="00A14A0B"/>
    <w:rsid w:val="00A15FEC"/>
    <w:rsid w:val="00A166A3"/>
    <w:rsid w:val="00A17788"/>
    <w:rsid w:val="00A208DD"/>
    <w:rsid w:val="00A21835"/>
    <w:rsid w:val="00A26A80"/>
    <w:rsid w:val="00A27504"/>
    <w:rsid w:val="00A30A8F"/>
    <w:rsid w:val="00A34CB7"/>
    <w:rsid w:val="00A35E21"/>
    <w:rsid w:val="00A3603D"/>
    <w:rsid w:val="00A36876"/>
    <w:rsid w:val="00A41A76"/>
    <w:rsid w:val="00A45E4D"/>
    <w:rsid w:val="00A4602C"/>
    <w:rsid w:val="00A47590"/>
    <w:rsid w:val="00A5237E"/>
    <w:rsid w:val="00A52915"/>
    <w:rsid w:val="00A52A55"/>
    <w:rsid w:val="00A53809"/>
    <w:rsid w:val="00A57155"/>
    <w:rsid w:val="00A57A24"/>
    <w:rsid w:val="00A604DA"/>
    <w:rsid w:val="00A60EB7"/>
    <w:rsid w:val="00A64716"/>
    <w:rsid w:val="00A650D8"/>
    <w:rsid w:val="00A65346"/>
    <w:rsid w:val="00A65D15"/>
    <w:rsid w:val="00A6764E"/>
    <w:rsid w:val="00A6776A"/>
    <w:rsid w:val="00A726E7"/>
    <w:rsid w:val="00A74766"/>
    <w:rsid w:val="00A762A3"/>
    <w:rsid w:val="00A771F4"/>
    <w:rsid w:val="00A77719"/>
    <w:rsid w:val="00A80521"/>
    <w:rsid w:val="00A80FAC"/>
    <w:rsid w:val="00A81140"/>
    <w:rsid w:val="00A83CD2"/>
    <w:rsid w:val="00A87E8C"/>
    <w:rsid w:val="00A909B9"/>
    <w:rsid w:val="00A90A91"/>
    <w:rsid w:val="00A90C13"/>
    <w:rsid w:val="00A91D61"/>
    <w:rsid w:val="00A92FF2"/>
    <w:rsid w:val="00A93331"/>
    <w:rsid w:val="00A937A4"/>
    <w:rsid w:val="00A939F1"/>
    <w:rsid w:val="00A93E62"/>
    <w:rsid w:val="00A940CC"/>
    <w:rsid w:val="00A9446C"/>
    <w:rsid w:val="00A966CF"/>
    <w:rsid w:val="00AA2543"/>
    <w:rsid w:val="00AB00FD"/>
    <w:rsid w:val="00AB2D37"/>
    <w:rsid w:val="00AB6BDA"/>
    <w:rsid w:val="00AB7050"/>
    <w:rsid w:val="00AC12F2"/>
    <w:rsid w:val="00AC644D"/>
    <w:rsid w:val="00AC65DF"/>
    <w:rsid w:val="00AD086A"/>
    <w:rsid w:val="00AD172C"/>
    <w:rsid w:val="00AD2ABD"/>
    <w:rsid w:val="00AD3372"/>
    <w:rsid w:val="00AD4995"/>
    <w:rsid w:val="00AD5CBD"/>
    <w:rsid w:val="00AD60C5"/>
    <w:rsid w:val="00AD6592"/>
    <w:rsid w:val="00AD67F8"/>
    <w:rsid w:val="00AD6ECC"/>
    <w:rsid w:val="00AE1268"/>
    <w:rsid w:val="00AE24D4"/>
    <w:rsid w:val="00AE4009"/>
    <w:rsid w:val="00AF03F7"/>
    <w:rsid w:val="00AF0FF5"/>
    <w:rsid w:val="00AF18E4"/>
    <w:rsid w:val="00AF247E"/>
    <w:rsid w:val="00AF4A47"/>
    <w:rsid w:val="00AF708D"/>
    <w:rsid w:val="00AF76CF"/>
    <w:rsid w:val="00B002D8"/>
    <w:rsid w:val="00B00A7B"/>
    <w:rsid w:val="00B0115D"/>
    <w:rsid w:val="00B016C5"/>
    <w:rsid w:val="00B01EE6"/>
    <w:rsid w:val="00B0356B"/>
    <w:rsid w:val="00B043FD"/>
    <w:rsid w:val="00B04B77"/>
    <w:rsid w:val="00B05920"/>
    <w:rsid w:val="00B10093"/>
    <w:rsid w:val="00B10CD5"/>
    <w:rsid w:val="00B111AE"/>
    <w:rsid w:val="00B11FAF"/>
    <w:rsid w:val="00B13149"/>
    <w:rsid w:val="00B132B4"/>
    <w:rsid w:val="00B15DAB"/>
    <w:rsid w:val="00B15E38"/>
    <w:rsid w:val="00B1775C"/>
    <w:rsid w:val="00B24A92"/>
    <w:rsid w:val="00B252A8"/>
    <w:rsid w:val="00B277E7"/>
    <w:rsid w:val="00B319D2"/>
    <w:rsid w:val="00B32540"/>
    <w:rsid w:val="00B340E9"/>
    <w:rsid w:val="00B40DEC"/>
    <w:rsid w:val="00B43757"/>
    <w:rsid w:val="00B456E6"/>
    <w:rsid w:val="00B45F76"/>
    <w:rsid w:val="00B4631A"/>
    <w:rsid w:val="00B472FB"/>
    <w:rsid w:val="00B51B88"/>
    <w:rsid w:val="00B527D6"/>
    <w:rsid w:val="00B558DD"/>
    <w:rsid w:val="00B600E5"/>
    <w:rsid w:val="00B6052F"/>
    <w:rsid w:val="00B63E00"/>
    <w:rsid w:val="00B66292"/>
    <w:rsid w:val="00B70F8F"/>
    <w:rsid w:val="00B71AED"/>
    <w:rsid w:val="00B74608"/>
    <w:rsid w:val="00B753C7"/>
    <w:rsid w:val="00B7749B"/>
    <w:rsid w:val="00B77CC9"/>
    <w:rsid w:val="00B81020"/>
    <w:rsid w:val="00B81B6F"/>
    <w:rsid w:val="00B831FC"/>
    <w:rsid w:val="00B83346"/>
    <w:rsid w:val="00B85B02"/>
    <w:rsid w:val="00B86A00"/>
    <w:rsid w:val="00B9193F"/>
    <w:rsid w:val="00B91B25"/>
    <w:rsid w:val="00B941E0"/>
    <w:rsid w:val="00B942F0"/>
    <w:rsid w:val="00B95049"/>
    <w:rsid w:val="00B9602B"/>
    <w:rsid w:val="00B965C5"/>
    <w:rsid w:val="00B967A9"/>
    <w:rsid w:val="00BA310E"/>
    <w:rsid w:val="00BA4680"/>
    <w:rsid w:val="00BB20BE"/>
    <w:rsid w:val="00BB2F04"/>
    <w:rsid w:val="00BC0A68"/>
    <w:rsid w:val="00BC210A"/>
    <w:rsid w:val="00BC2385"/>
    <w:rsid w:val="00BC272A"/>
    <w:rsid w:val="00BC53C8"/>
    <w:rsid w:val="00BC7951"/>
    <w:rsid w:val="00BD42FB"/>
    <w:rsid w:val="00BD441C"/>
    <w:rsid w:val="00BD4A22"/>
    <w:rsid w:val="00BD7483"/>
    <w:rsid w:val="00BE2828"/>
    <w:rsid w:val="00BE540E"/>
    <w:rsid w:val="00BF0C44"/>
    <w:rsid w:val="00BF1A4A"/>
    <w:rsid w:val="00BF3F78"/>
    <w:rsid w:val="00BF5651"/>
    <w:rsid w:val="00BF6F33"/>
    <w:rsid w:val="00BF7DA6"/>
    <w:rsid w:val="00C02CF8"/>
    <w:rsid w:val="00C0591F"/>
    <w:rsid w:val="00C06673"/>
    <w:rsid w:val="00C1068F"/>
    <w:rsid w:val="00C12232"/>
    <w:rsid w:val="00C13D6C"/>
    <w:rsid w:val="00C14192"/>
    <w:rsid w:val="00C1764D"/>
    <w:rsid w:val="00C240DC"/>
    <w:rsid w:val="00C251CD"/>
    <w:rsid w:val="00C3014E"/>
    <w:rsid w:val="00C32D1D"/>
    <w:rsid w:val="00C365D6"/>
    <w:rsid w:val="00C40E73"/>
    <w:rsid w:val="00C419FC"/>
    <w:rsid w:val="00C41EBF"/>
    <w:rsid w:val="00C458AF"/>
    <w:rsid w:val="00C462FC"/>
    <w:rsid w:val="00C47A07"/>
    <w:rsid w:val="00C47D1B"/>
    <w:rsid w:val="00C503FF"/>
    <w:rsid w:val="00C51DA0"/>
    <w:rsid w:val="00C526B9"/>
    <w:rsid w:val="00C53E33"/>
    <w:rsid w:val="00C54158"/>
    <w:rsid w:val="00C56A1D"/>
    <w:rsid w:val="00C56BF2"/>
    <w:rsid w:val="00C60714"/>
    <w:rsid w:val="00C60D1F"/>
    <w:rsid w:val="00C61143"/>
    <w:rsid w:val="00C657AA"/>
    <w:rsid w:val="00C65F73"/>
    <w:rsid w:val="00C75DF4"/>
    <w:rsid w:val="00C77CAB"/>
    <w:rsid w:val="00C80956"/>
    <w:rsid w:val="00C80F8C"/>
    <w:rsid w:val="00C84044"/>
    <w:rsid w:val="00C8734B"/>
    <w:rsid w:val="00C91163"/>
    <w:rsid w:val="00C944F9"/>
    <w:rsid w:val="00C94EA7"/>
    <w:rsid w:val="00C978F7"/>
    <w:rsid w:val="00CA3B97"/>
    <w:rsid w:val="00CA4E9B"/>
    <w:rsid w:val="00CA6914"/>
    <w:rsid w:val="00CA7B2B"/>
    <w:rsid w:val="00CB0854"/>
    <w:rsid w:val="00CB48AF"/>
    <w:rsid w:val="00CC1C85"/>
    <w:rsid w:val="00CC2001"/>
    <w:rsid w:val="00CC280D"/>
    <w:rsid w:val="00CD2E12"/>
    <w:rsid w:val="00CD325B"/>
    <w:rsid w:val="00CD43D2"/>
    <w:rsid w:val="00CD4CEE"/>
    <w:rsid w:val="00CD5285"/>
    <w:rsid w:val="00CE2210"/>
    <w:rsid w:val="00CE5136"/>
    <w:rsid w:val="00CE62C7"/>
    <w:rsid w:val="00CE7CF4"/>
    <w:rsid w:val="00CF02AF"/>
    <w:rsid w:val="00CF0AC2"/>
    <w:rsid w:val="00CF0F8C"/>
    <w:rsid w:val="00CF16CB"/>
    <w:rsid w:val="00CF44F2"/>
    <w:rsid w:val="00CF47B0"/>
    <w:rsid w:val="00CF496D"/>
    <w:rsid w:val="00CF4BB7"/>
    <w:rsid w:val="00CF7242"/>
    <w:rsid w:val="00D007AC"/>
    <w:rsid w:val="00D02C37"/>
    <w:rsid w:val="00D02E38"/>
    <w:rsid w:val="00D02EFA"/>
    <w:rsid w:val="00D03364"/>
    <w:rsid w:val="00D041FD"/>
    <w:rsid w:val="00D0454A"/>
    <w:rsid w:val="00D052DA"/>
    <w:rsid w:val="00D068E5"/>
    <w:rsid w:val="00D0699C"/>
    <w:rsid w:val="00D07FBE"/>
    <w:rsid w:val="00D1359F"/>
    <w:rsid w:val="00D13DB5"/>
    <w:rsid w:val="00D1478E"/>
    <w:rsid w:val="00D160C1"/>
    <w:rsid w:val="00D16FAF"/>
    <w:rsid w:val="00D2014D"/>
    <w:rsid w:val="00D23B51"/>
    <w:rsid w:val="00D263C5"/>
    <w:rsid w:val="00D27239"/>
    <w:rsid w:val="00D279D5"/>
    <w:rsid w:val="00D27A6E"/>
    <w:rsid w:val="00D32634"/>
    <w:rsid w:val="00D32FA1"/>
    <w:rsid w:val="00D42905"/>
    <w:rsid w:val="00D436EC"/>
    <w:rsid w:val="00D44D22"/>
    <w:rsid w:val="00D45A6B"/>
    <w:rsid w:val="00D5183E"/>
    <w:rsid w:val="00D538F8"/>
    <w:rsid w:val="00D55491"/>
    <w:rsid w:val="00D55D54"/>
    <w:rsid w:val="00D56842"/>
    <w:rsid w:val="00D57345"/>
    <w:rsid w:val="00D5799F"/>
    <w:rsid w:val="00D57E4A"/>
    <w:rsid w:val="00D60C21"/>
    <w:rsid w:val="00D60E35"/>
    <w:rsid w:val="00D61B4C"/>
    <w:rsid w:val="00D61E70"/>
    <w:rsid w:val="00D62473"/>
    <w:rsid w:val="00D63459"/>
    <w:rsid w:val="00D65352"/>
    <w:rsid w:val="00D6669B"/>
    <w:rsid w:val="00D666B7"/>
    <w:rsid w:val="00D67603"/>
    <w:rsid w:val="00D676E1"/>
    <w:rsid w:val="00D7165C"/>
    <w:rsid w:val="00D71784"/>
    <w:rsid w:val="00D73A56"/>
    <w:rsid w:val="00D80027"/>
    <w:rsid w:val="00D82827"/>
    <w:rsid w:val="00D829B9"/>
    <w:rsid w:val="00D8375E"/>
    <w:rsid w:val="00D8716A"/>
    <w:rsid w:val="00D93DA9"/>
    <w:rsid w:val="00D94CF7"/>
    <w:rsid w:val="00D950AC"/>
    <w:rsid w:val="00D95C6B"/>
    <w:rsid w:val="00DA0ACA"/>
    <w:rsid w:val="00DA2187"/>
    <w:rsid w:val="00DA6932"/>
    <w:rsid w:val="00DB500B"/>
    <w:rsid w:val="00DB7209"/>
    <w:rsid w:val="00DC0F37"/>
    <w:rsid w:val="00DC1016"/>
    <w:rsid w:val="00DC6CE9"/>
    <w:rsid w:val="00DD252F"/>
    <w:rsid w:val="00DD36DC"/>
    <w:rsid w:val="00DD4025"/>
    <w:rsid w:val="00DD43B7"/>
    <w:rsid w:val="00DD4FCF"/>
    <w:rsid w:val="00DD6120"/>
    <w:rsid w:val="00DD6927"/>
    <w:rsid w:val="00DD7F73"/>
    <w:rsid w:val="00DE0BC1"/>
    <w:rsid w:val="00DE200D"/>
    <w:rsid w:val="00DE2845"/>
    <w:rsid w:val="00DE35DE"/>
    <w:rsid w:val="00DE4EE6"/>
    <w:rsid w:val="00DE57DE"/>
    <w:rsid w:val="00DE5BB8"/>
    <w:rsid w:val="00DE6ED5"/>
    <w:rsid w:val="00DE7778"/>
    <w:rsid w:val="00DE7D42"/>
    <w:rsid w:val="00DF037D"/>
    <w:rsid w:val="00DF09F9"/>
    <w:rsid w:val="00DF27E7"/>
    <w:rsid w:val="00DF2EE7"/>
    <w:rsid w:val="00DF4B49"/>
    <w:rsid w:val="00DF564E"/>
    <w:rsid w:val="00DF5973"/>
    <w:rsid w:val="00DF6D54"/>
    <w:rsid w:val="00E014FE"/>
    <w:rsid w:val="00E01A8B"/>
    <w:rsid w:val="00E029F0"/>
    <w:rsid w:val="00E035C5"/>
    <w:rsid w:val="00E0681C"/>
    <w:rsid w:val="00E1119F"/>
    <w:rsid w:val="00E130D3"/>
    <w:rsid w:val="00E13C8D"/>
    <w:rsid w:val="00E13CB2"/>
    <w:rsid w:val="00E16BD9"/>
    <w:rsid w:val="00E2005F"/>
    <w:rsid w:val="00E22A00"/>
    <w:rsid w:val="00E23E2F"/>
    <w:rsid w:val="00E32C55"/>
    <w:rsid w:val="00E33B79"/>
    <w:rsid w:val="00E40CCD"/>
    <w:rsid w:val="00E4225E"/>
    <w:rsid w:val="00E429D8"/>
    <w:rsid w:val="00E45067"/>
    <w:rsid w:val="00E45267"/>
    <w:rsid w:val="00E454A1"/>
    <w:rsid w:val="00E507EE"/>
    <w:rsid w:val="00E52DE5"/>
    <w:rsid w:val="00E54D3C"/>
    <w:rsid w:val="00E56347"/>
    <w:rsid w:val="00E569B3"/>
    <w:rsid w:val="00E56BAC"/>
    <w:rsid w:val="00E60710"/>
    <w:rsid w:val="00E60DEF"/>
    <w:rsid w:val="00E616BB"/>
    <w:rsid w:val="00E6366A"/>
    <w:rsid w:val="00E63999"/>
    <w:rsid w:val="00E6446A"/>
    <w:rsid w:val="00E64FC8"/>
    <w:rsid w:val="00E66C1C"/>
    <w:rsid w:val="00E745A1"/>
    <w:rsid w:val="00E823A8"/>
    <w:rsid w:val="00E84D0C"/>
    <w:rsid w:val="00E86013"/>
    <w:rsid w:val="00E86E4F"/>
    <w:rsid w:val="00E9144E"/>
    <w:rsid w:val="00E91E1D"/>
    <w:rsid w:val="00E91EC5"/>
    <w:rsid w:val="00E923C5"/>
    <w:rsid w:val="00E92F2F"/>
    <w:rsid w:val="00E93899"/>
    <w:rsid w:val="00E948A7"/>
    <w:rsid w:val="00E95473"/>
    <w:rsid w:val="00E96B25"/>
    <w:rsid w:val="00EA3C89"/>
    <w:rsid w:val="00EA4310"/>
    <w:rsid w:val="00EA5464"/>
    <w:rsid w:val="00EB0136"/>
    <w:rsid w:val="00EB04AA"/>
    <w:rsid w:val="00EB109C"/>
    <w:rsid w:val="00EB2C90"/>
    <w:rsid w:val="00EB4692"/>
    <w:rsid w:val="00EB49E8"/>
    <w:rsid w:val="00EB6471"/>
    <w:rsid w:val="00EB70B4"/>
    <w:rsid w:val="00EB71E4"/>
    <w:rsid w:val="00EC0739"/>
    <w:rsid w:val="00EC08B6"/>
    <w:rsid w:val="00EC1018"/>
    <w:rsid w:val="00EC1087"/>
    <w:rsid w:val="00EC1346"/>
    <w:rsid w:val="00EC25BC"/>
    <w:rsid w:val="00EC35EC"/>
    <w:rsid w:val="00EC61EA"/>
    <w:rsid w:val="00EC69F7"/>
    <w:rsid w:val="00EC74C6"/>
    <w:rsid w:val="00ED0428"/>
    <w:rsid w:val="00ED2AAC"/>
    <w:rsid w:val="00ED456A"/>
    <w:rsid w:val="00ED610B"/>
    <w:rsid w:val="00ED63B2"/>
    <w:rsid w:val="00ED6D1E"/>
    <w:rsid w:val="00EE1105"/>
    <w:rsid w:val="00EE1AEA"/>
    <w:rsid w:val="00EE1E1A"/>
    <w:rsid w:val="00EE3F2B"/>
    <w:rsid w:val="00EE69BE"/>
    <w:rsid w:val="00EE7063"/>
    <w:rsid w:val="00EF0279"/>
    <w:rsid w:val="00EF210B"/>
    <w:rsid w:val="00EF35A8"/>
    <w:rsid w:val="00EF4435"/>
    <w:rsid w:val="00EF61B0"/>
    <w:rsid w:val="00EF63C9"/>
    <w:rsid w:val="00EF7A7F"/>
    <w:rsid w:val="00F00305"/>
    <w:rsid w:val="00F00CC6"/>
    <w:rsid w:val="00F03889"/>
    <w:rsid w:val="00F04354"/>
    <w:rsid w:val="00F05081"/>
    <w:rsid w:val="00F058F0"/>
    <w:rsid w:val="00F0706B"/>
    <w:rsid w:val="00F11768"/>
    <w:rsid w:val="00F12EFF"/>
    <w:rsid w:val="00F1346D"/>
    <w:rsid w:val="00F135C1"/>
    <w:rsid w:val="00F14D54"/>
    <w:rsid w:val="00F15A20"/>
    <w:rsid w:val="00F16121"/>
    <w:rsid w:val="00F16F9E"/>
    <w:rsid w:val="00F20309"/>
    <w:rsid w:val="00F2044E"/>
    <w:rsid w:val="00F20C33"/>
    <w:rsid w:val="00F21F38"/>
    <w:rsid w:val="00F22189"/>
    <w:rsid w:val="00F22414"/>
    <w:rsid w:val="00F22896"/>
    <w:rsid w:val="00F22FBF"/>
    <w:rsid w:val="00F238A4"/>
    <w:rsid w:val="00F23A16"/>
    <w:rsid w:val="00F24D6E"/>
    <w:rsid w:val="00F256D6"/>
    <w:rsid w:val="00F25B48"/>
    <w:rsid w:val="00F27033"/>
    <w:rsid w:val="00F2719D"/>
    <w:rsid w:val="00F32066"/>
    <w:rsid w:val="00F354B7"/>
    <w:rsid w:val="00F35A37"/>
    <w:rsid w:val="00F36A13"/>
    <w:rsid w:val="00F416F1"/>
    <w:rsid w:val="00F42FFE"/>
    <w:rsid w:val="00F43779"/>
    <w:rsid w:val="00F45BC5"/>
    <w:rsid w:val="00F460D4"/>
    <w:rsid w:val="00F4632A"/>
    <w:rsid w:val="00F5298F"/>
    <w:rsid w:val="00F53DA5"/>
    <w:rsid w:val="00F565D7"/>
    <w:rsid w:val="00F56B8D"/>
    <w:rsid w:val="00F56F30"/>
    <w:rsid w:val="00F64268"/>
    <w:rsid w:val="00F654BB"/>
    <w:rsid w:val="00F6589F"/>
    <w:rsid w:val="00F7259E"/>
    <w:rsid w:val="00F731E0"/>
    <w:rsid w:val="00F7750F"/>
    <w:rsid w:val="00F77A97"/>
    <w:rsid w:val="00F8006F"/>
    <w:rsid w:val="00F8144B"/>
    <w:rsid w:val="00F81494"/>
    <w:rsid w:val="00F8179D"/>
    <w:rsid w:val="00F856A5"/>
    <w:rsid w:val="00F8674F"/>
    <w:rsid w:val="00F87384"/>
    <w:rsid w:val="00F874B7"/>
    <w:rsid w:val="00F9071C"/>
    <w:rsid w:val="00FA362E"/>
    <w:rsid w:val="00FA58BB"/>
    <w:rsid w:val="00FA61D0"/>
    <w:rsid w:val="00FA62D8"/>
    <w:rsid w:val="00FA6BD0"/>
    <w:rsid w:val="00FA74AB"/>
    <w:rsid w:val="00FA74D1"/>
    <w:rsid w:val="00FB037E"/>
    <w:rsid w:val="00FB0A21"/>
    <w:rsid w:val="00FB44AC"/>
    <w:rsid w:val="00FB4712"/>
    <w:rsid w:val="00FB48D6"/>
    <w:rsid w:val="00FB6933"/>
    <w:rsid w:val="00FB6F75"/>
    <w:rsid w:val="00FB7C29"/>
    <w:rsid w:val="00FC10CB"/>
    <w:rsid w:val="00FC11D9"/>
    <w:rsid w:val="00FC19E9"/>
    <w:rsid w:val="00FC204E"/>
    <w:rsid w:val="00FC5D55"/>
    <w:rsid w:val="00FC722D"/>
    <w:rsid w:val="00FD3318"/>
    <w:rsid w:val="00FD430C"/>
    <w:rsid w:val="00FD5946"/>
    <w:rsid w:val="00FD5E90"/>
    <w:rsid w:val="00FD6737"/>
    <w:rsid w:val="00FD7CED"/>
    <w:rsid w:val="00FE04C0"/>
    <w:rsid w:val="00FE58F9"/>
    <w:rsid w:val="00FE5AF6"/>
    <w:rsid w:val="00FE5C26"/>
    <w:rsid w:val="00FE7A73"/>
    <w:rsid w:val="00FF070C"/>
    <w:rsid w:val="00FF1F21"/>
    <w:rsid w:val="00FF2300"/>
    <w:rsid w:val="00FF264D"/>
    <w:rsid w:val="00FF6B97"/>
    <w:rsid w:val="00FF7A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B36FBDAB-2EB6-4B72-941B-EAA411DA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paragraph" w:customStyle="1" w:styleId="m-4303980160591560862gmail-paragraph">
    <w:name w:val="m_-4303980160591560862gmail-paragraph"/>
    <w:basedOn w:val="Normal"/>
    <w:rsid w:val="003111DF"/>
    <w:pPr>
      <w:spacing w:before="100" w:beforeAutospacing="1" w:after="100" w:afterAutospacing="1"/>
    </w:pPr>
    <w:rPr>
      <w:lang w:val="es-MX" w:eastAsia="es-MX"/>
    </w:rPr>
  </w:style>
  <w:style w:type="character" w:customStyle="1" w:styleId="m-4303980160591560862gmail-apple-converted-space">
    <w:name w:val="m_-4303980160591560862gmail-apple-converted-space"/>
    <w:basedOn w:val="Fuentedeprrafopredeter"/>
    <w:rsid w:val="003111DF"/>
  </w:style>
  <w:style w:type="paragraph" w:customStyle="1" w:styleId="m-3000795733131735881gmail-msofootnotetext">
    <w:name w:val="m_-3000795733131735881gmail-msofootnotetext"/>
    <w:basedOn w:val="Normal"/>
    <w:rsid w:val="003C064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733511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489201331">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3763">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068F-83CF-4682-980B-FEA70F80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6539</TotalTime>
  <Pages>26</Pages>
  <Words>6166</Words>
  <Characters>33913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132</cp:revision>
  <cp:lastPrinted>2019-01-29T00:21:00Z</cp:lastPrinted>
  <dcterms:created xsi:type="dcterms:W3CDTF">2017-06-27T22:47:00Z</dcterms:created>
  <dcterms:modified xsi:type="dcterms:W3CDTF">2019-02-18T15:39:00Z</dcterms:modified>
</cp:coreProperties>
</file>